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D319EF">
      <w:pPr>
        <w:spacing w:line="560" w:lineRule="exact"/>
        <w:ind w:firstLine="0" w:firstLineChars="0"/>
        <w:jc w:val="center"/>
        <w:rPr>
          <w:rFonts w:hint="eastAsia" w:ascii="方正小标宋简体" w:hAnsi="方正小标宋简体" w:eastAsia="方正小标宋简体" w:cs="方正小标宋简体"/>
          <w:b/>
          <w:bCs/>
          <w:sz w:val="44"/>
          <w:szCs w:val="44"/>
          <w:lang w:eastAsia="zh-CN"/>
        </w:rPr>
      </w:pPr>
      <w:bookmarkStart w:id="0" w:name="_GoBack"/>
      <w:bookmarkEnd w:id="0"/>
      <w:r>
        <w:rPr>
          <w:rFonts w:hint="eastAsia" w:ascii="方正小标宋简体" w:hAnsi="方正小标宋简体" w:eastAsia="方正小标宋简体" w:cs="方正小标宋简体"/>
          <w:b/>
          <w:bCs/>
          <w:sz w:val="44"/>
          <w:szCs w:val="44"/>
          <w:lang w:val="en-US" w:eastAsia="zh-CN"/>
        </w:rPr>
        <w:t>天恒城市花园天恒大厦北楼</w:t>
      </w:r>
      <w:r>
        <w:rPr>
          <w:rFonts w:hint="eastAsia" w:ascii="方正小标宋简体" w:hAnsi="方正小标宋简体" w:eastAsia="方正小标宋简体" w:cs="方正小标宋简体"/>
          <w:b/>
          <w:bCs/>
          <w:sz w:val="44"/>
          <w:szCs w:val="44"/>
          <w:lang w:eastAsia="zh-CN"/>
        </w:rPr>
        <w:t>写字楼</w:t>
      </w:r>
    </w:p>
    <w:p w14:paraId="2F636AED">
      <w:pPr>
        <w:spacing w:line="560" w:lineRule="exact"/>
        <w:ind w:firstLine="0" w:firstLineChars="0"/>
        <w:jc w:val="center"/>
        <w:rPr>
          <w:rFonts w:hint="eastAsia"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b/>
          <w:bCs/>
          <w:sz w:val="44"/>
          <w:szCs w:val="44"/>
          <w:lang w:eastAsia="zh-CN"/>
        </w:rPr>
        <w:t>商业</w:t>
      </w:r>
      <w:r>
        <w:rPr>
          <w:rFonts w:hint="eastAsia" w:ascii="方正小标宋简体" w:hAnsi="方正小标宋简体" w:eastAsia="方正小标宋简体" w:cs="方正小标宋简体"/>
          <w:b/>
          <w:bCs/>
          <w:sz w:val="44"/>
          <w:szCs w:val="44"/>
        </w:rPr>
        <w:t>合作协议</w:t>
      </w:r>
    </w:p>
    <w:p w14:paraId="54666F27">
      <w:pPr>
        <w:spacing w:line="560" w:lineRule="exact"/>
        <w:ind w:firstLine="560" w:firstLineChars="200"/>
        <w:rPr>
          <w:rFonts w:ascii="仿宋" w:hAnsi="仿宋" w:eastAsia="仿宋" w:cs="仿宋"/>
          <w:sz w:val="28"/>
          <w:szCs w:val="28"/>
        </w:rPr>
      </w:pPr>
    </w:p>
    <w:p w14:paraId="6EBE8176">
      <w:pPr>
        <w:spacing w:line="560" w:lineRule="exact"/>
        <w:ind w:firstLine="640" w:firstLineChars="200"/>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甲方：贵阳市国有资产投资管理公司</w:t>
      </w:r>
    </w:p>
    <w:p w14:paraId="58452864">
      <w:pPr>
        <w:spacing w:line="560" w:lineRule="exact"/>
        <w:ind w:firstLine="640" w:firstLineChars="200"/>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统一社会信用代码：91520100709660997R</w:t>
      </w:r>
    </w:p>
    <w:p w14:paraId="2AC3BDFB">
      <w:pPr>
        <w:spacing w:line="560" w:lineRule="exact"/>
        <w:ind w:firstLine="640" w:firstLineChars="200"/>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地址：贵州省贵阳市观山湖区诚信北路81号大西南富力中心A1栋11楼</w:t>
      </w:r>
    </w:p>
    <w:p w14:paraId="536F1FE7">
      <w:pPr>
        <w:spacing w:line="560" w:lineRule="exact"/>
        <w:ind w:firstLine="640" w:firstLineChars="200"/>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联系方式：</w:t>
      </w:r>
    </w:p>
    <w:p w14:paraId="7D7EFFBA">
      <w:pPr>
        <w:spacing w:line="560" w:lineRule="exact"/>
        <w:ind w:firstLine="640" w:firstLineChars="200"/>
        <w:rPr>
          <w:rFonts w:hint="eastAsia" w:ascii="仿宋_GB2312" w:hAnsi="仿宋_GB2312" w:eastAsia="仿宋_GB2312" w:cs="仿宋_GB2312"/>
          <w:color w:val="000000" w:themeColor="text1"/>
          <w:sz w:val="32"/>
          <w:szCs w:val="32"/>
          <w:highlight w:val="none"/>
          <w14:textFill>
            <w14:solidFill>
              <w14:schemeClr w14:val="tx1"/>
            </w14:solidFill>
          </w14:textFill>
        </w:rPr>
      </w:pPr>
    </w:p>
    <w:p w14:paraId="1B792025">
      <w:pPr>
        <w:spacing w:line="560" w:lineRule="exact"/>
        <w:ind w:firstLine="640" w:firstLineChars="200"/>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乙方：</w:t>
      </w:r>
      <w:r>
        <w:rPr>
          <w:rFonts w:hint="eastAsia" w:ascii="仿宋_GB2312" w:hAnsi="仿宋_GB2312" w:eastAsia="仿宋_GB2312" w:cs="仿宋_GB2312"/>
          <w:color w:val="000000" w:themeColor="text1"/>
          <w:sz w:val="32"/>
          <w:szCs w:val="32"/>
          <w:highlight w:val="none"/>
          <w:u w:val="single"/>
          <w:lang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u w:val="single"/>
          <w:lang w:val="en-US" w:eastAsia="zh-CN"/>
          <w14:textFill>
            <w14:solidFill>
              <w14:schemeClr w14:val="tx1"/>
            </w14:solidFill>
          </w14:textFill>
        </w:rPr>
        <w:t xml:space="preserve">                            </w:t>
      </w:r>
    </w:p>
    <w:p w14:paraId="5ABE530B">
      <w:pPr>
        <w:spacing w:line="560" w:lineRule="exact"/>
        <w:ind w:firstLine="640" w:firstLineChars="200"/>
        <w:rPr>
          <w:rFonts w:hint="eastAsia" w:ascii="仿宋_GB2312" w:hAnsi="仿宋_GB2312" w:eastAsia="仿宋_GB2312" w:cs="仿宋_GB2312"/>
          <w:color w:val="000000" w:themeColor="text1"/>
          <w:sz w:val="32"/>
          <w:szCs w:val="32"/>
          <w:highlight w:val="none"/>
          <w:u w:val="singl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统一社会信用代码：</w:t>
      </w:r>
      <w:r>
        <w:rPr>
          <w:rFonts w:hint="eastAsia" w:ascii="仿宋_GB2312" w:hAnsi="仿宋_GB2312" w:eastAsia="仿宋_GB2312" w:cs="仿宋_GB2312"/>
          <w:color w:val="000000" w:themeColor="text1"/>
          <w:sz w:val="32"/>
          <w:szCs w:val="32"/>
          <w:highlight w:val="none"/>
          <w:u w:val="single"/>
          <w:lang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u w:val="single"/>
          <w:lang w:val="en-US" w:eastAsia="zh-CN"/>
          <w14:textFill>
            <w14:solidFill>
              <w14:schemeClr w14:val="tx1"/>
            </w14:solidFill>
          </w14:textFill>
        </w:rPr>
        <w:t xml:space="preserve">                     </w:t>
      </w:r>
    </w:p>
    <w:p w14:paraId="7D72CCB9">
      <w:pPr>
        <w:spacing w:line="560" w:lineRule="exact"/>
        <w:ind w:firstLine="640" w:firstLineChars="200"/>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地址：</w:t>
      </w:r>
      <w:r>
        <w:rPr>
          <w:rFonts w:hint="eastAsia" w:ascii="仿宋_GB2312" w:hAnsi="仿宋_GB2312" w:eastAsia="仿宋_GB2312" w:cs="仿宋_GB2312"/>
          <w:color w:val="000000" w:themeColor="text1"/>
          <w:sz w:val="32"/>
          <w:szCs w:val="32"/>
          <w:highlight w:val="none"/>
          <w:u w:val="single"/>
          <w:lang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u w:val="single"/>
          <w:lang w:val="en-US" w:eastAsia="zh-CN"/>
          <w14:textFill>
            <w14:solidFill>
              <w14:schemeClr w14:val="tx1"/>
            </w14:solidFill>
          </w14:textFill>
        </w:rPr>
        <w:t xml:space="preserve">                              </w:t>
      </w:r>
    </w:p>
    <w:p w14:paraId="5E006F14">
      <w:pPr>
        <w:spacing w:line="560" w:lineRule="exact"/>
        <w:ind w:firstLine="640" w:firstLineChars="200"/>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联系方式：</w:t>
      </w:r>
      <w:r>
        <w:rPr>
          <w:rFonts w:hint="eastAsia" w:ascii="仿宋_GB2312" w:hAnsi="仿宋_GB2312" w:eastAsia="仿宋_GB2312" w:cs="仿宋_GB2312"/>
          <w:color w:val="000000" w:themeColor="text1"/>
          <w:sz w:val="32"/>
          <w:szCs w:val="32"/>
          <w:highlight w:val="none"/>
          <w:u w:val="single"/>
          <w:lang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u w:val="singl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14:textFill>
            <w14:solidFill>
              <w14:schemeClr w14:val="tx1"/>
            </w14:solidFill>
          </w14:textFill>
        </w:rPr>
        <w:t xml:space="preserve"> </w:t>
      </w:r>
    </w:p>
    <w:p w14:paraId="09C268EF">
      <w:pPr>
        <w:numPr>
          <w:ilvl w:val="-1"/>
          <w:numId w:val="0"/>
        </w:numPr>
        <w:spacing w:line="560" w:lineRule="exact"/>
        <w:ind w:firstLine="640" w:firstLineChars="200"/>
        <w:jc w:val="both"/>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根据《省人民政府关于印发贵州省行政事业</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性</w:t>
      </w:r>
      <w:r>
        <w:rPr>
          <w:rFonts w:hint="eastAsia" w:ascii="仿宋_GB2312" w:hAnsi="仿宋_GB2312" w:eastAsia="仿宋_GB2312" w:cs="仿宋_GB2312"/>
          <w:color w:val="000000" w:themeColor="text1"/>
          <w:sz w:val="32"/>
          <w:szCs w:val="32"/>
          <w:highlight w:val="none"/>
          <w14:textFill>
            <w14:solidFill>
              <w14:schemeClr w14:val="tx1"/>
            </w14:solidFill>
          </w14:textFill>
        </w:rPr>
        <w:t>国有资产管理办法的通知》（黔府发〔2022〕18号）及《中共贵阳市委办公厅</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14:textFill>
            <w14:solidFill>
              <w14:schemeClr w14:val="tx1"/>
            </w14:solidFill>
          </w14:textFill>
        </w:rPr>
        <w:t>贵阳市人民政府办公厅关于同意&lt;贵阳市市级党政机关和事业单位经营性资产清理处置工作方案&gt;的批复》（筑委办函〔2022〕6号）《贵阳市财政局关于&lt;贵阳市行政事业性国有资产盘活工作行动方案&gt;的通知》（筑财资〔2023〕1号）等相关精神，贵阳市</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城乡规划设计研究院</w:t>
      </w:r>
      <w:r>
        <w:rPr>
          <w:rFonts w:hint="eastAsia" w:ascii="仿宋_GB2312" w:hAnsi="仿宋_GB2312" w:eastAsia="仿宋_GB2312" w:cs="仿宋_GB2312"/>
          <w:color w:val="000000" w:themeColor="text1"/>
          <w:sz w:val="32"/>
          <w:szCs w:val="32"/>
          <w:highlight w:val="none"/>
          <w14:textFill>
            <w14:solidFill>
              <w14:schemeClr w14:val="tx1"/>
            </w14:solidFill>
          </w14:textFill>
        </w:rPr>
        <w:t>将所属位于云岩区</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富水北路天恒城市花园恒天大厦北楼办公用房</w:t>
      </w:r>
      <w:r>
        <w:rPr>
          <w:rFonts w:hint="eastAsia" w:ascii="仿宋_GB2312" w:hAnsi="仿宋_GB2312" w:eastAsia="仿宋_GB2312" w:cs="仿宋_GB2312"/>
          <w:color w:val="000000" w:themeColor="text1"/>
          <w:sz w:val="32"/>
          <w:szCs w:val="32"/>
          <w:highlight w:val="none"/>
          <w14:textFill>
            <w14:solidFill>
              <w14:schemeClr w14:val="tx1"/>
            </w14:solidFill>
          </w14:textFill>
        </w:rPr>
        <w:t>资产委托</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甲方</w:t>
      </w:r>
      <w:r>
        <w:rPr>
          <w:rFonts w:hint="eastAsia" w:ascii="仿宋_GB2312" w:hAnsi="仿宋_GB2312" w:eastAsia="仿宋_GB2312" w:cs="仿宋_GB2312"/>
          <w:color w:val="000000" w:themeColor="text1"/>
          <w:sz w:val="32"/>
          <w:szCs w:val="32"/>
          <w:highlight w:val="none"/>
          <w14:textFill>
            <w14:solidFill>
              <w14:schemeClr w14:val="tx1"/>
            </w14:solidFill>
          </w14:textFill>
        </w:rPr>
        <w:t>经营管理。</w:t>
      </w:r>
    </w:p>
    <w:p w14:paraId="2F4B9DE0">
      <w:pPr>
        <w:numPr>
          <w:ilvl w:val="-1"/>
          <w:numId w:val="0"/>
        </w:numPr>
        <w:spacing w:line="560" w:lineRule="exact"/>
        <w:ind w:firstLine="640" w:firstLineChars="200"/>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Style w:val="19"/>
          <w:rFonts w:hint="eastAsia" w:ascii="仿宋_GB2312" w:hAnsi="仿宋_GB2312" w:eastAsia="仿宋_GB2312" w:cs="仿宋_GB2312"/>
          <w:color w:val="000000" w:themeColor="text1"/>
          <w:sz w:val="32"/>
          <w:szCs w:val="32"/>
          <w:highlight w:val="none"/>
          <w14:textFill>
            <w14:solidFill>
              <w14:schemeClr w14:val="tx1"/>
            </w14:solidFill>
          </w14:textFill>
        </w:rPr>
        <w:t>甲、乙</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双方本着“优势互补、合作共赢、共同发展”的</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宗旨</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w:t>
      </w:r>
      <w:r>
        <w:rPr>
          <w:rFonts w:hint="eastAsia" w:ascii="仿宋_GB2312" w:hAnsi="仿宋_GB2312" w:eastAsia="仿宋_GB2312" w:cs="仿宋_GB2312"/>
          <w:color w:val="000000" w:themeColor="text1"/>
          <w:sz w:val="32"/>
          <w:szCs w:val="32"/>
          <w:highlight w:val="none"/>
          <w14:textFill>
            <w14:solidFill>
              <w14:schemeClr w14:val="tx1"/>
            </w14:solidFill>
          </w14:textFill>
        </w:rPr>
        <w:t>根据《中华人民共和国民法典》等相关法律法规的规定</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及平等互利的原则</w:t>
      </w:r>
      <w:r>
        <w:rPr>
          <w:rFonts w:hint="eastAsia" w:ascii="仿宋_GB2312" w:hAnsi="仿宋_GB2312" w:eastAsia="仿宋_GB2312" w:cs="仿宋_GB2312"/>
          <w:color w:val="000000" w:themeColor="text1"/>
          <w:sz w:val="32"/>
          <w:szCs w:val="32"/>
          <w:highlight w:val="none"/>
          <w14:textFill>
            <w14:solidFill>
              <w14:schemeClr w14:val="tx1"/>
            </w14:solidFill>
          </w14:textFill>
        </w:rPr>
        <w:t>，经</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双</w:t>
      </w:r>
      <w:r>
        <w:rPr>
          <w:rFonts w:hint="eastAsia" w:ascii="仿宋_GB2312" w:hAnsi="仿宋_GB2312" w:eastAsia="仿宋_GB2312" w:cs="仿宋_GB2312"/>
          <w:color w:val="000000" w:themeColor="text1"/>
          <w:sz w:val="32"/>
          <w:szCs w:val="32"/>
          <w:highlight w:val="none"/>
          <w14:textFill>
            <w14:solidFill>
              <w14:schemeClr w14:val="tx1"/>
            </w14:solidFill>
          </w14:textFill>
        </w:rPr>
        <w:t>方充分协商，就云岩区</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富水北路天恒城市花园恒天大厦北楼办公用房</w:t>
      </w:r>
      <w:r>
        <w:rPr>
          <w:rFonts w:hint="eastAsia" w:ascii="仿宋_GB2312" w:hAnsi="仿宋_GB2312" w:eastAsia="仿宋_GB2312" w:cs="仿宋_GB2312"/>
          <w:color w:val="000000" w:themeColor="text1"/>
          <w:sz w:val="32"/>
          <w:szCs w:val="32"/>
          <w:highlight w:val="none"/>
          <w14:textFill>
            <w14:solidFill>
              <w14:schemeClr w14:val="tx1"/>
            </w14:solidFill>
          </w14:textFill>
        </w:rPr>
        <w:t>资产</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产权面积3516.68㎡</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000000" w:themeColor="text1"/>
          <w:sz w:val="32"/>
          <w:szCs w:val="32"/>
          <w:highlight w:val="none"/>
          <w14:textFill>
            <w14:solidFill>
              <w14:schemeClr w14:val="tx1"/>
            </w14:solidFill>
          </w14:textFill>
        </w:rPr>
        <w:t>合作的具体事宜达成一致意见，签订本</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合作协议</w:t>
      </w:r>
      <w:r>
        <w:rPr>
          <w:rFonts w:hint="eastAsia" w:ascii="仿宋_GB2312" w:hAnsi="仿宋_GB2312" w:eastAsia="仿宋_GB2312" w:cs="仿宋_GB2312"/>
          <w:color w:val="000000" w:themeColor="text1"/>
          <w:sz w:val="32"/>
          <w:szCs w:val="32"/>
          <w:highlight w:val="none"/>
          <w14:textFill>
            <w14:solidFill>
              <w14:schemeClr w14:val="tx1"/>
            </w14:solidFill>
          </w14:textFill>
        </w:rPr>
        <w:t>，以资双方共同遵守。</w:t>
      </w:r>
    </w:p>
    <w:p w14:paraId="4DAC3C0E">
      <w:pPr>
        <w:numPr>
          <w:ilvl w:val="0"/>
          <w:numId w:val="0"/>
        </w:numPr>
        <w:spacing w:line="560" w:lineRule="exact"/>
        <w:ind w:firstLine="643" w:firstLineChars="200"/>
        <w:rPr>
          <w:rFonts w:hint="eastAsia" w:ascii="仿宋_GB2312" w:hAnsi="仿宋_GB2312" w:eastAsia="仿宋_GB2312" w:cs="仿宋_GB2312"/>
          <w:b/>
          <w:bCs/>
          <w:color w:val="000000" w:themeColor="text1"/>
          <w:sz w:val="32"/>
          <w:szCs w:val="32"/>
          <w:highlight w:val="none"/>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14:textFill>
            <w14:solidFill>
              <w14:schemeClr w14:val="tx1"/>
            </w14:solidFill>
          </w14:textFill>
        </w:rPr>
        <w:t>第一条 合作原则</w:t>
      </w:r>
    </w:p>
    <w:p w14:paraId="7D2E32AD">
      <w:pPr>
        <w:numPr>
          <w:ilvl w:val="0"/>
          <w:numId w:val="0"/>
        </w:numPr>
        <w:spacing w:line="560" w:lineRule="exact"/>
        <w:ind w:firstLine="560"/>
        <w:rPr>
          <w:rFonts w:hint="eastAsia" w:ascii="仿宋_GB2312" w:hAnsi="仿宋_GB2312" w:eastAsia="仿宋_GB2312" w:cs="仿宋_GB2312"/>
          <w:b w:val="0"/>
          <w:bCs w:val="0"/>
          <w:color w:val="000000" w:themeColor="text1"/>
          <w:sz w:val="32"/>
          <w:szCs w:val="32"/>
          <w:highlight w:val="none"/>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14:textFill>
            <w14:solidFill>
              <w14:schemeClr w14:val="tx1"/>
            </w14:solidFill>
          </w14:textFill>
        </w:rPr>
        <w:t>1.1 保值增值原则</w:t>
      </w:r>
    </w:p>
    <w:p w14:paraId="0CA8A441">
      <w:pPr>
        <w:numPr>
          <w:ilvl w:val="0"/>
          <w:numId w:val="0"/>
        </w:numPr>
        <w:spacing w:line="560" w:lineRule="exact"/>
        <w:ind w:firstLine="560"/>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甲、乙双方基于确保甲方国有资产保值增值的基础上开展合作</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w:t>
      </w:r>
    </w:p>
    <w:p w14:paraId="73A20CB4">
      <w:pPr>
        <w:numPr>
          <w:ilvl w:val="0"/>
          <w:numId w:val="0"/>
        </w:numPr>
        <w:spacing w:line="560" w:lineRule="exact"/>
        <w:ind w:firstLine="560"/>
        <w:rPr>
          <w:rFonts w:hint="eastAsia" w:ascii="仿宋_GB2312" w:hAnsi="仿宋_GB2312" w:eastAsia="仿宋_GB2312" w:cs="仿宋_GB2312"/>
          <w:b w:val="0"/>
          <w:bCs w:val="0"/>
          <w:color w:val="000000" w:themeColor="text1"/>
          <w:sz w:val="32"/>
          <w:szCs w:val="32"/>
          <w:highlight w:val="none"/>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14:textFill>
            <w14:solidFill>
              <w14:schemeClr w14:val="tx1"/>
            </w14:solidFill>
          </w14:textFill>
        </w:rPr>
        <w:t>1.2 守法诚信原则</w:t>
      </w:r>
    </w:p>
    <w:p w14:paraId="0C96FFAC">
      <w:pPr>
        <w:numPr>
          <w:ilvl w:val="0"/>
          <w:numId w:val="0"/>
        </w:numPr>
        <w:spacing w:line="560" w:lineRule="exact"/>
        <w:ind w:firstLine="560"/>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甲、乙双方均应严格遵守相关法律和政策规定，诚实守信，切实维护双方合法权益</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p>
    <w:p w14:paraId="1A7CFF35">
      <w:pPr>
        <w:numPr>
          <w:ilvl w:val="0"/>
          <w:numId w:val="0"/>
        </w:numPr>
        <w:spacing w:line="560" w:lineRule="exact"/>
        <w:ind w:firstLine="560"/>
        <w:rPr>
          <w:rFonts w:hint="eastAsia" w:ascii="仿宋_GB2312" w:hAnsi="仿宋_GB2312" w:eastAsia="仿宋_GB2312" w:cs="仿宋_GB2312"/>
          <w:b w:val="0"/>
          <w:bCs w:val="0"/>
          <w:color w:val="000000" w:themeColor="text1"/>
          <w:sz w:val="32"/>
          <w:szCs w:val="32"/>
          <w:highlight w:val="none"/>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14:textFill>
            <w14:solidFill>
              <w14:schemeClr w14:val="tx1"/>
            </w14:solidFill>
          </w14:textFill>
        </w:rPr>
        <w:t>1.3 互惠互利原则</w:t>
      </w:r>
    </w:p>
    <w:p w14:paraId="20372266">
      <w:pPr>
        <w:numPr>
          <w:ilvl w:val="0"/>
          <w:numId w:val="0"/>
        </w:numPr>
        <w:spacing w:line="560" w:lineRule="exact"/>
        <w:ind w:firstLine="560"/>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着眼扩大甲、乙双方共同利益，坚持资源共享、优势互补，促进双方互利共</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赢</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p>
    <w:p w14:paraId="18DEFF97">
      <w:pPr>
        <w:numPr>
          <w:ilvl w:val="0"/>
          <w:numId w:val="0"/>
        </w:numPr>
        <w:spacing w:line="560" w:lineRule="exact"/>
        <w:ind w:firstLine="560"/>
        <w:rPr>
          <w:rFonts w:hint="eastAsia" w:ascii="仿宋_GB2312" w:hAnsi="仿宋_GB2312" w:eastAsia="仿宋_GB2312" w:cs="仿宋_GB2312"/>
          <w:b w:val="0"/>
          <w:bCs w:val="0"/>
          <w:color w:val="000000" w:themeColor="text1"/>
          <w:sz w:val="32"/>
          <w:szCs w:val="32"/>
          <w:highlight w:val="none"/>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14:textFill>
            <w14:solidFill>
              <w14:schemeClr w14:val="tx1"/>
            </w14:solidFill>
          </w14:textFill>
        </w:rPr>
        <w:t>1.4 快速推进原则</w:t>
      </w:r>
    </w:p>
    <w:p w14:paraId="3CC8E524">
      <w:pPr>
        <w:numPr>
          <w:ilvl w:val="0"/>
          <w:numId w:val="0"/>
        </w:numPr>
        <w:spacing w:line="560" w:lineRule="exact"/>
        <w:ind w:firstLine="560"/>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充分发挥</w:t>
      </w:r>
      <w:r>
        <w:rPr>
          <w:rFonts w:hint="eastAsia" w:ascii="仿宋_GB2312" w:hAnsi="仿宋_GB2312" w:eastAsia="仿宋_GB2312" w:cs="仿宋_GB2312"/>
          <w:color w:val="000000" w:themeColor="text1"/>
          <w:sz w:val="32"/>
          <w:szCs w:val="32"/>
          <w:highlight w:val="none"/>
          <w:lang w:val="en-US"/>
          <w14:textFill>
            <w14:solidFill>
              <w14:schemeClr w14:val="tx1"/>
            </w14:solidFill>
          </w14:textFill>
        </w:rPr>
        <w:t>双</w:t>
      </w:r>
      <w:r>
        <w:rPr>
          <w:rFonts w:hint="eastAsia" w:ascii="仿宋_GB2312" w:hAnsi="仿宋_GB2312" w:eastAsia="仿宋_GB2312" w:cs="仿宋_GB2312"/>
          <w:color w:val="000000" w:themeColor="text1"/>
          <w:sz w:val="32"/>
          <w:szCs w:val="32"/>
          <w:highlight w:val="none"/>
          <w14:textFill>
            <w14:solidFill>
              <w14:schemeClr w14:val="tx1"/>
            </w14:solidFill>
          </w14:textFill>
        </w:rPr>
        <w:t>方优势，共同创造条件，高效推动实质性合作进程。</w:t>
      </w:r>
    </w:p>
    <w:p w14:paraId="7CBB360A">
      <w:pPr>
        <w:spacing w:line="560" w:lineRule="exact"/>
        <w:ind w:firstLine="643" w:firstLineChars="200"/>
        <w:rPr>
          <w:rFonts w:hint="eastAsia" w:ascii="仿宋_GB2312" w:hAnsi="仿宋_GB2312" w:eastAsia="仿宋_GB2312" w:cs="仿宋_GB2312"/>
          <w:b/>
          <w:bCs/>
          <w:color w:val="000000" w:themeColor="text1"/>
          <w:sz w:val="32"/>
          <w:szCs w:val="32"/>
          <w:highlight w:val="none"/>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14:textFill>
            <w14:solidFill>
              <w14:schemeClr w14:val="tx1"/>
            </w14:solidFill>
          </w14:textFill>
        </w:rPr>
        <w:t>第</w:t>
      </w:r>
      <w:r>
        <w:rPr>
          <w:rFonts w:hint="eastAsia" w:ascii="仿宋_GB2312" w:hAnsi="仿宋_GB2312" w:eastAsia="仿宋_GB2312" w:cs="仿宋_GB2312"/>
          <w:b/>
          <w:bCs/>
          <w:color w:val="000000" w:themeColor="text1"/>
          <w:sz w:val="32"/>
          <w:szCs w:val="32"/>
          <w:highlight w:val="none"/>
          <w:lang w:eastAsia="zh-CN"/>
          <w14:textFill>
            <w14:solidFill>
              <w14:schemeClr w14:val="tx1"/>
            </w14:solidFill>
          </w14:textFill>
        </w:rPr>
        <w:t>二</w:t>
      </w:r>
      <w:r>
        <w:rPr>
          <w:rFonts w:hint="eastAsia" w:ascii="仿宋_GB2312" w:hAnsi="仿宋_GB2312" w:eastAsia="仿宋_GB2312" w:cs="仿宋_GB2312"/>
          <w:b/>
          <w:bCs/>
          <w:color w:val="000000" w:themeColor="text1"/>
          <w:sz w:val="32"/>
          <w:szCs w:val="32"/>
          <w:highlight w:val="none"/>
          <w14:textFill>
            <w14:solidFill>
              <w14:schemeClr w14:val="tx1"/>
            </w14:solidFill>
          </w14:textFill>
        </w:rPr>
        <w:t>条 合作项目</w:t>
      </w:r>
    </w:p>
    <w:p w14:paraId="3CEA13FE">
      <w:pPr>
        <w:spacing w:line="560" w:lineRule="exact"/>
        <w:ind w:firstLine="640" w:firstLineChars="200"/>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2.</w:t>
      </w:r>
      <w:r>
        <w:rPr>
          <w:rFonts w:hint="eastAsia" w:ascii="仿宋_GB2312" w:hAnsi="仿宋_GB2312" w:eastAsia="仿宋_GB2312" w:cs="仿宋_GB2312"/>
          <w:color w:val="000000" w:themeColor="text1"/>
          <w:sz w:val="32"/>
          <w:szCs w:val="32"/>
          <w:highlight w:val="none"/>
          <w14:textFill>
            <w14:solidFill>
              <w14:schemeClr w14:val="tx1"/>
            </w14:solidFill>
          </w14:textFill>
        </w:rPr>
        <w:t>1 项目名称：</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云岩区富水北路天恒城市花园恒天大厦北楼办公用房</w:t>
      </w:r>
      <w:r>
        <w:rPr>
          <w:rFonts w:hint="eastAsia" w:ascii="仿宋_GB2312" w:hAnsi="仿宋_GB2312" w:eastAsia="仿宋_GB2312" w:cs="仿宋_GB2312"/>
          <w:color w:val="000000" w:themeColor="text1"/>
          <w:sz w:val="32"/>
          <w:szCs w:val="32"/>
          <w:highlight w:val="none"/>
          <w14:textFill>
            <w14:solidFill>
              <w14:schemeClr w14:val="tx1"/>
            </w14:solidFill>
          </w14:textFill>
        </w:rPr>
        <w:t>资产</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项目</w:t>
      </w:r>
      <w:r>
        <w:rPr>
          <w:rFonts w:hint="eastAsia" w:ascii="仿宋_GB2312" w:hAnsi="仿宋_GB2312" w:eastAsia="仿宋_GB2312" w:cs="仿宋_GB2312"/>
          <w:color w:val="000000" w:themeColor="text1"/>
          <w:sz w:val="32"/>
          <w:szCs w:val="32"/>
          <w:highlight w:val="none"/>
          <w14:textFill>
            <w14:solidFill>
              <w14:schemeClr w14:val="tx1"/>
            </w14:solidFill>
          </w14:textFill>
        </w:rPr>
        <w:t>（以下简称“本项目”）。</w:t>
      </w:r>
    </w:p>
    <w:p w14:paraId="2B7C4936">
      <w:pPr>
        <w:spacing w:line="560" w:lineRule="exact"/>
        <w:ind w:firstLine="640" w:firstLineChars="200"/>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2.</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2</w:t>
      </w:r>
      <w:r>
        <w:rPr>
          <w:rFonts w:hint="eastAsia" w:ascii="仿宋_GB2312" w:hAnsi="仿宋_GB2312" w:eastAsia="仿宋_GB2312" w:cs="仿宋_GB2312"/>
          <w:color w:val="000000" w:themeColor="text1"/>
          <w:sz w:val="32"/>
          <w:szCs w:val="32"/>
          <w:highlight w:val="none"/>
          <w14:textFill>
            <w14:solidFill>
              <w14:schemeClr w14:val="tx1"/>
            </w14:solidFill>
          </w14:textFill>
        </w:rPr>
        <w:t xml:space="preserve"> 项目建设地点：云岩区</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富水北路天恒城市花园天恒大厦北楼</w:t>
      </w:r>
      <w:r>
        <w:rPr>
          <w:rFonts w:hint="eastAsia" w:ascii="仿宋_GB2312" w:hAnsi="仿宋_GB2312" w:eastAsia="仿宋_GB2312" w:cs="仿宋_GB2312"/>
          <w:color w:val="000000" w:themeColor="text1"/>
          <w:sz w:val="32"/>
          <w:szCs w:val="32"/>
          <w:highlight w:val="none"/>
          <w14:textFill>
            <w14:solidFill>
              <w14:schemeClr w14:val="tx1"/>
            </w14:solidFill>
          </w14:textFill>
        </w:rPr>
        <w:t>。</w:t>
      </w:r>
    </w:p>
    <w:p w14:paraId="2034418F">
      <w:pPr>
        <w:pStyle w:val="11"/>
        <w:spacing w:line="560" w:lineRule="exact"/>
        <w:ind w:firstLine="640" w:firstLineChars="200"/>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2.</w:t>
      </w:r>
      <w:r>
        <w:rPr>
          <w:rFonts w:hint="eastAsia" w:ascii="仿宋_GB2312" w:hAnsi="仿宋_GB2312" w:eastAsia="仿宋_GB2312" w:cs="仿宋_GB2312"/>
          <w:color w:val="000000" w:themeColor="text1"/>
          <w:sz w:val="32"/>
          <w:szCs w:val="32"/>
          <w:highlight w:val="none"/>
          <w14:textFill>
            <w14:solidFill>
              <w14:schemeClr w14:val="tx1"/>
            </w14:solidFill>
          </w14:textFill>
        </w:rPr>
        <w:t>3 项目投资规模：</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约</w:t>
      </w:r>
      <w:r>
        <w:rPr>
          <w:rFonts w:hint="eastAsia" w:ascii="仿宋_GB2312" w:hAnsi="仿宋_GB2312" w:eastAsia="仿宋_GB2312" w:cs="仿宋_GB2312"/>
          <w:color w:val="000000" w:themeColor="text1"/>
          <w:sz w:val="32"/>
          <w:szCs w:val="32"/>
          <w:highlight w:val="none"/>
          <w:u w:val="singl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14:textFill>
            <w14:solidFill>
              <w14:schemeClr w14:val="tx1"/>
            </w14:solidFill>
          </w14:textFill>
        </w:rPr>
        <w:t>万元（大写：</w:t>
      </w:r>
      <w:r>
        <w:rPr>
          <w:rFonts w:hint="eastAsia" w:ascii="仿宋_GB2312" w:hAnsi="仿宋_GB2312" w:eastAsia="仿宋_GB2312" w:cs="仿宋_GB2312"/>
          <w:color w:val="000000" w:themeColor="text1"/>
          <w:sz w:val="32"/>
          <w:szCs w:val="32"/>
          <w:highlight w:val="none"/>
          <w:u w:val="singl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14:textFill>
            <w14:solidFill>
              <w14:schemeClr w14:val="tx1"/>
            </w14:solidFill>
          </w14:textFill>
        </w:rPr>
        <w:t>万元整）</w:t>
      </w:r>
    </w:p>
    <w:p w14:paraId="03881780">
      <w:pPr>
        <w:spacing w:line="560" w:lineRule="exact"/>
        <w:ind w:firstLine="640" w:firstLineChars="200"/>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2.4</w:t>
      </w:r>
      <w:r>
        <w:rPr>
          <w:rFonts w:hint="eastAsia" w:ascii="仿宋_GB2312" w:hAnsi="仿宋_GB2312" w:eastAsia="仿宋_GB2312" w:cs="仿宋_GB2312"/>
          <w:color w:val="000000" w:themeColor="text1"/>
          <w:sz w:val="32"/>
          <w:szCs w:val="32"/>
          <w:highlight w:val="none"/>
          <w14:textFill>
            <w14:solidFill>
              <w14:schemeClr w14:val="tx1"/>
            </w14:solidFill>
          </w14:textFill>
        </w:rPr>
        <w:t xml:space="preserve"> 项目建设周期：</w:t>
      </w:r>
      <w:r>
        <w:rPr>
          <w:rFonts w:hint="eastAsia" w:ascii="仿宋_GB2312" w:hAnsi="仿宋_GB2312" w:eastAsia="仿宋_GB2312" w:cs="仿宋_GB2312"/>
          <w:color w:val="000000" w:themeColor="text1"/>
          <w:sz w:val="32"/>
          <w:szCs w:val="32"/>
          <w:highlight w:val="none"/>
          <w:u w:val="single"/>
          <w:lang w:val="en-US" w:eastAsia="zh-CN"/>
          <w14:textFill>
            <w14:solidFill>
              <w14:schemeClr w14:val="tx1"/>
            </w14:solidFill>
          </w14:textFill>
        </w:rPr>
        <w:t>6</w:t>
      </w:r>
      <w:r>
        <w:rPr>
          <w:rFonts w:hint="eastAsia" w:ascii="仿宋_GB2312" w:hAnsi="仿宋_GB2312" w:eastAsia="仿宋_GB2312" w:cs="仿宋_GB2312"/>
          <w:color w:val="000000" w:themeColor="text1"/>
          <w:sz w:val="32"/>
          <w:szCs w:val="32"/>
          <w:highlight w:val="none"/>
          <w:u w:val="single"/>
          <w14:textFill>
            <w14:solidFill>
              <w14:schemeClr w14:val="tx1"/>
            </w14:solidFill>
          </w14:textFill>
        </w:rPr>
        <w:t>个月</w:t>
      </w:r>
      <w:r>
        <w:rPr>
          <w:rFonts w:hint="eastAsia" w:ascii="仿宋_GB2312" w:hAnsi="仿宋_GB2312" w:eastAsia="仿宋_GB2312" w:cs="仿宋_GB2312"/>
          <w:color w:val="000000" w:themeColor="text1"/>
          <w:sz w:val="32"/>
          <w:szCs w:val="32"/>
          <w:highlight w:val="none"/>
          <w14:textFill>
            <w14:solidFill>
              <w14:schemeClr w14:val="tx1"/>
            </w14:solidFill>
          </w14:textFill>
        </w:rPr>
        <w:t>。</w:t>
      </w:r>
    </w:p>
    <w:p w14:paraId="02367497">
      <w:pPr>
        <w:spacing w:line="560" w:lineRule="exact"/>
        <w:ind w:firstLine="643" w:firstLineChars="200"/>
        <w:rPr>
          <w:rFonts w:hint="eastAsia" w:ascii="仿宋_GB2312" w:hAnsi="仿宋_GB2312" w:eastAsia="仿宋_GB2312" w:cs="仿宋_GB2312"/>
          <w:b/>
          <w:bCs/>
          <w:color w:val="000000" w:themeColor="text1"/>
          <w:sz w:val="32"/>
          <w:szCs w:val="32"/>
          <w:highlight w:val="none"/>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14:textFill>
            <w14:solidFill>
              <w14:schemeClr w14:val="tx1"/>
            </w14:solidFill>
          </w14:textFill>
        </w:rPr>
        <w:t>第</w:t>
      </w:r>
      <w:r>
        <w:rPr>
          <w:rFonts w:hint="eastAsia" w:ascii="仿宋_GB2312" w:hAnsi="仿宋_GB2312" w:eastAsia="仿宋_GB2312" w:cs="仿宋_GB2312"/>
          <w:b/>
          <w:bCs/>
          <w:color w:val="000000" w:themeColor="text1"/>
          <w:sz w:val="32"/>
          <w:szCs w:val="32"/>
          <w:highlight w:val="none"/>
          <w:lang w:eastAsia="zh-CN"/>
          <w14:textFill>
            <w14:solidFill>
              <w14:schemeClr w14:val="tx1"/>
            </w14:solidFill>
          </w14:textFill>
        </w:rPr>
        <w:t>三</w:t>
      </w:r>
      <w:r>
        <w:rPr>
          <w:rFonts w:hint="eastAsia" w:ascii="仿宋_GB2312" w:hAnsi="仿宋_GB2312" w:eastAsia="仿宋_GB2312" w:cs="仿宋_GB2312"/>
          <w:b/>
          <w:bCs/>
          <w:color w:val="000000" w:themeColor="text1"/>
          <w:sz w:val="32"/>
          <w:szCs w:val="32"/>
          <w:highlight w:val="none"/>
          <w14:textFill>
            <w14:solidFill>
              <w14:schemeClr w14:val="tx1"/>
            </w14:solidFill>
          </w14:textFill>
        </w:rPr>
        <w:t>条 合作方式</w:t>
      </w:r>
    </w:p>
    <w:p w14:paraId="70337219">
      <w:pPr>
        <w:spacing w:line="560" w:lineRule="exact"/>
        <w:ind w:firstLine="640" w:firstLineChars="200"/>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 xml:space="preserve">3.1 </w:t>
      </w:r>
      <w:r>
        <w:rPr>
          <w:rFonts w:hint="eastAsia" w:ascii="仿宋_GB2312" w:hAnsi="仿宋_GB2312" w:eastAsia="仿宋_GB2312" w:cs="仿宋_GB2312"/>
          <w:color w:val="000000" w:themeColor="text1"/>
          <w:sz w:val="32"/>
          <w:szCs w:val="32"/>
          <w:highlight w:val="none"/>
          <w14:textFill>
            <w14:solidFill>
              <w14:schemeClr w14:val="tx1"/>
            </w14:solidFill>
          </w14:textFill>
        </w:rPr>
        <w:t>甲方将位于云岩区</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富水北路天恒城市花园恒天大厦北楼办公用房</w:t>
      </w:r>
      <w:r>
        <w:rPr>
          <w:rFonts w:hint="eastAsia" w:ascii="仿宋_GB2312" w:hAnsi="仿宋_GB2312" w:eastAsia="仿宋_GB2312" w:cs="仿宋_GB2312"/>
          <w:color w:val="000000" w:themeColor="text1"/>
          <w:sz w:val="32"/>
          <w:szCs w:val="32"/>
          <w:highlight w:val="none"/>
          <w14:textFill>
            <w14:solidFill>
              <w14:schemeClr w14:val="tx1"/>
            </w14:solidFill>
          </w14:textFill>
        </w:rPr>
        <w:t>资产（</w:t>
      </w:r>
      <w:r>
        <w:rPr>
          <w:rFonts w:hint="eastAsia" w:ascii="仿宋_GB2312" w:hAnsi="仿宋_GB2312" w:eastAsia="仿宋_GB2312" w:cs="仿宋_GB2312"/>
          <w:color w:val="auto"/>
          <w:sz w:val="32"/>
          <w:szCs w:val="32"/>
          <w:highlight w:val="none"/>
          <w:lang w:val="en-US" w:eastAsia="zh-CN"/>
        </w:rPr>
        <w:t>产权面积3516.68㎡</w:t>
      </w:r>
      <w:r>
        <w:rPr>
          <w:rFonts w:hint="eastAsia" w:ascii="仿宋_GB2312" w:hAnsi="仿宋_GB2312" w:eastAsia="仿宋_GB2312" w:cs="仿宋_GB2312"/>
          <w:color w:val="000000" w:themeColor="text1"/>
          <w:sz w:val="32"/>
          <w:szCs w:val="32"/>
          <w:highlight w:val="none"/>
          <w14:textFill>
            <w14:solidFill>
              <w14:schemeClr w14:val="tx1"/>
            </w14:solidFill>
          </w14:textFill>
        </w:rPr>
        <w:t>）作为合作资源，有偿提供给乙方</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用于本项目建设及整体运营</w:t>
      </w:r>
      <w:r>
        <w:rPr>
          <w:rFonts w:hint="eastAsia" w:ascii="仿宋_GB2312" w:hAnsi="仿宋_GB2312" w:eastAsia="仿宋_GB2312" w:cs="仿宋_GB2312"/>
          <w:color w:val="000000" w:themeColor="text1"/>
          <w:sz w:val="32"/>
          <w:szCs w:val="32"/>
          <w:highlight w:val="none"/>
          <w14:textFill>
            <w14:solidFill>
              <w14:schemeClr w14:val="tx1"/>
            </w14:solidFill>
          </w14:textFill>
        </w:rPr>
        <w:t>。</w:t>
      </w:r>
    </w:p>
    <w:p w14:paraId="75BE13A1">
      <w:pPr>
        <w:spacing w:line="560" w:lineRule="exact"/>
        <w:ind w:firstLine="640" w:firstLineChars="200"/>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 xml:space="preserve">3.2 </w:t>
      </w:r>
      <w:r>
        <w:rPr>
          <w:rFonts w:hint="eastAsia" w:ascii="仿宋_GB2312" w:hAnsi="仿宋_GB2312" w:eastAsia="仿宋_GB2312" w:cs="仿宋_GB2312"/>
          <w:color w:val="000000" w:themeColor="text1"/>
          <w:sz w:val="32"/>
          <w:szCs w:val="32"/>
          <w:highlight w:val="none"/>
          <w14:textFill>
            <w14:solidFill>
              <w14:schemeClr w14:val="tx1"/>
            </w14:solidFill>
          </w14:textFill>
        </w:rPr>
        <w:t>乙方负责筹</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集本项目建设、</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装修</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所需全部</w:t>
      </w:r>
      <w:r>
        <w:rPr>
          <w:rFonts w:hint="eastAsia" w:ascii="仿宋_GB2312" w:hAnsi="仿宋_GB2312" w:eastAsia="仿宋_GB2312" w:cs="仿宋_GB2312"/>
          <w:color w:val="000000" w:themeColor="text1"/>
          <w:sz w:val="32"/>
          <w:szCs w:val="32"/>
          <w:highlight w:val="none"/>
          <w14:textFill>
            <w14:solidFill>
              <w14:schemeClr w14:val="tx1"/>
            </w14:solidFill>
          </w14:textFill>
        </w:rPr>
        <w:t>资金，</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并负责项目整体运营、管理</w:t>
      </w:r>
      <w:r>
        <w:rPr>
          <w:rFonts w:hint="eastAsia" w:ascii="仿宋_GB2312" w:hAnsi="仿宋_GB2312" w:eastAsia="仿宋_GB2312" w:cs="仿宋_GB2312"/>
          <w:color w:val="000000" w:themeColor="text1"/>
          <w:sz w:val="32"/>
          <w:szCs w:val="32"/>
          <w:highlight w:val="none"/>
          <w14:textFill>
            <w14:solidFill>
              <w14:schemeClr w14:val="tx1"/>
            </w14:solidFill>
          </w14:textFill>
        </w:rPr>
        <w:t>。</w:t>
      </w:r>
    </w:p>
    <w:p w14:paraId="381061D4">
      <w:pPr>
        <w:pStyle w:val="15"/>
        <w:tabs>
          <w:tab w:val="left" w:pos="323"/>
        </w:tabs>
        <w:wordWrap w:val="0"/>
        <w:autoSpaceDE w:val="0"/>
        <w:autoSpaceDN w:val="0"/>
        <w:spacing w:line="560" w:lineRule="exact"/>
        <w:ind w:right="32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000000" w:themeColor="text1"/>
          <w:sz w:val="32"/>
          <w:szCs w:val="32"/>
          <w:highlight w:val="none"/>
          <w:lang w:val="en-US" w:bidi="ar-SA"/>
          <w14:textFill>
            <w14:solidFill>
              <w14:schemeClr w14:val="tx1"/>
            </w14:solidFill>
          </w14:textFill>
        </w:rPr>
        <w:t>3.</w:t>
      </w:r>
      <w:r>
        <w:rPr>
          <w:rFonts w:hint="eastAsia" w:ascii="仿宋_GB2312" w:hAnsi="仿宋_GB2312" w:eastAsia="仿宋_GB2312" w:cs="仿宋_GB2312"/>
          <w:color w:val="000000" w:themeColor="text1"/>
          <w:sz w:val="32"/>
          <w:szCs w:val="32"/>
          <w:highlight w:val="none"/>
          <w:lang w:val="en-US" w:eastAsia="zh-CN" w:bidi="ar-SA"/>
          <w14:textFill>
            <w14:solidFill>
              <w14:schemeClr w14:val="tx1"/>
            </w14:solidFill>
          </w14:textFill>
        </w:rPr>
        <w:t xml:space="preserve">3 </w:t>
      </w:r>
      <w:r>
        <w:rPr>
          <w:rFonts w:hint="eastAsia" w:ascii="仿宋_GB2312" w:hAnsi="仿宋_GB2312" w:eastAsia="仿宋_GB2312" w:cs="仿宋_GB2312"/>
          <w:bCs w:val="0"/>
          <w:color w:val="000000" w:themeColor="text1"/>
          <w:sz w:val="32"/>
          <w:szCs w:val="32"/>
          <w:highlight w:val="none"/>
          <w:lang w:val="en-US" w:bidi="ar-SA"/>
          <w14:textFill>
            <w14:solidFill>
              <w14:schemeClr w14:val="tx1"/>
            </w14:solidFill>
          </w14:textFill>
        </w:rPr>
        <w:t>甲方不参与项目的投建</w:t>
      </w:r>
      <w:r>
        <w:rPr>
          <w:rFonts w:hint="eastAsia" w:ascii="仿宋_GB2312" w:hAnsi="仿宋_GB2312" w:eastAsia="仿宋_GB2312" w:cs="仿宋_GB2312"/>
          <w:bCs w:val="0"/>
          <w:color w:val="000000" w:themeColor="text1"/>
          <w:sz w:val="32"/>
          <w:szCs w:val="32"/>
          <w:highlight w:val="none"/>
          <w:lang w:val="en-US" w:eastAsia="zh-CN" w:bidi="ar-SA"/>
          <w14:textFill>
            <w14:solidFill>
              <w14:schemeClr w14:val="tx1"/>
            </w14:solidFill>
          </w14:textFill>
        </w:rPr>
        <w:t>、装修</w:t>
      </w:r>
      <w:r>
        <w:rPr>
          <w:rFonts w:hint="eastAsia" w:ascii="仿宋_GB2312" w:hAnsi="仿宋_GB2312" w:eastAsia="仿宋_GB2312" w:cs="仿宋_GB2312"/>
          <w:bCs w:val="0"/>
          <w:color w:val="000000" w:themeColor="text1"/>
          <w:sz w:val="32"/>
          <w:szCs w:val="32"/>
          <w:highlight w:val="none"/>
          <w:lang w:val="en-US" w:bidi="ar-SA"/>
          <w14:textFill>
            <w14:solidFill>
              <w14:schemeClr w14:val="tx1"/>
            </w14:solidFill>
          </w14:textFill>
        </w:rPr>
        <w:t>、运营、管理，但有权监督</w:t>
      </w:r>
      <w:r>
        <w:rPr>
          <w:rFonts w:hint="eastAsia" w:ascii="仿宋_GB2312" w:hAnsi="仿宋_GB2312" w:eastAsia="仿宋_GB2312" w:cs="仿宋_GB2312"/>
          <w:bCs w:val="0"/>
          <w:color w:val="000000" w:themeColor="text1"/>
          <w:sz w:val="32"/>
          <w:szCs w:val="32"/>
          <w:highlight w:val="none"/>
          <w:lang w:val="en-US" w:eastAsia="zh-CN" w:bidi="ar-SA"/>
          <w14:textFill>
            <w14:solidFill>
              <w14:schemeClr w14:val="tx1"/>
            </w14:solidFill>
          </w14:textFill>
        </w:rPr>
        <w:t>、核查</w:t>
      </w:r>
      <w:r>
        <w:rPr>
          <w:rFonts w:hint="eastAsia" w:ascii="仿宋_GB2312" w:hAnsi="仿宋_GB2312" w:eastAsia="仿宋_GB2312" w:cs="仿宋_GB2312"/>
          <w:bCs w:val="0"/>
          <w:color w:val="000000" w:themeColor="text1"/>
          <w:sz w:val="32"/>
          <w:szCs w:val="32"/>
          <w:highlight w:val="none"/>
          <w:lang w:val="en-US" w:bidi="ar-SA"/>
          <w14:textFill>
            <w14:solidFill>
              <w14:schemeClr w14:val="tx1"/>
            </w14:solidFill>
          </w14:textFill>
        </w:rPr>
        <w:t>乙方在项目实施过程中的</w:t>
      </w:r>
      <w:r>
        <w:rPr>
          <w:rFonts w:hint="eastAsia" w:ascii="仿宋_GB2312" w:hAnsi="仿宋_GB2312" w:eastAsia="仿宋_GB2312" w:cs="仿宋_GB2312"/>
          <w:bCs w:val="0"/>
          <w:color w:val="000000" w:themeColor="text1"/>
          <w:sz w:val="32"/>
          <w:szCs w:val="32"/>
          <w:highlight w:val="none"/>
          <w:lang w:val="en-US" w:eastAsia="zh-CN" w:bidi="ar-SA"/>
          <w14:textFill>
            <w14:solidFill>
              <w14:schemeClr w14:val="tx1"/>
            </w14:solidFill>
          </w14:textFill>
        </w:rPr>
        <w:t>建设、经营</w:t>
      </w:r>
      <w:r>
        <w:rPr>
          <w:rFonts w:hint="eastAsia" w:ascii="仿宋_GB2312" w:hAnsi="仿宋_GB2312" w:eastAsia="仿宋_GB2312" w:cs="仿宋_GB2312"/>
          <w:bCs w:val="0"/>
          <w:color w:val="000000" w:themeColor="text1"/>
          <w:sz w:val="32"/>
          <w:szCs w:val="32"/>
          <w:highlight w:val="none"/>
          <w:lang w:val="en-US" w:bidi="ar-SA"/>
          <w14:textFill>
            <w14:solidFill>
              <w14:schemeClr w14:val="tx1"/>
            </w14:solidFill>
          </w14:textFill>
        </w:rPr>
        <w:t>管理</w:t>
      </w:r>
      <w:r>
        <w:rPr>
          <w:rFonts w:hint="eastAsia" w:ascii="仿宋_GB2312" w:hAnsi="仿宋_GB2312" w:eastAsia="仿宋_GB2312" w:cs="仿宋_GB2312"/>
          <w:bCs w:val="0"/>
          <w:color w:val="000000" w:themeColor="text1"/>
          <w:sz w:val="32"/>
          <w:szCs w:val="32"/>
          <w:highlight w:val="none"/>
          <w:lang w:val="en-US" w:eastAsia="zh-CN" w:bidi="ar-SA"/>
          <w14:textFill>
            <w14:solidFill>
              <w14:schemeClr w14:val="tx1"/>
            </w14:solidFill>
          </w14:textFill>
        </w:rPr>
        <w:t>及运营、财务数据</w:t>
      </w:r>
      <w:r>
        <w:rPr>
          <w:rFonts w:hint="eastAsia" w:ascii="仿宋_GB2312" w:hAnsi="仿宋_GB2312" w:eastAsia="仿宋_GB2312" w:cs="仿宋_GB2312"/>
          <w:bCs w:val="0"/>
          <w:color w:val="000000" w:themeColor="text1"/>
          <w:sz w:val="32"/>
          <w:szCs w:val="32"/>
          <w:highlight w:val="none"/>
          <w:lang w:val="en-US" w:bidi="ar-SA"/>
          <w14:textFill>
            <w14:solidFill>
              <w14:schemeClr w14:val="tx1"/>
            </w14:solidFill>
          </w14:textFill>
        </w:rPr>
        <w:t>。</w:t>
      </w:r>
    </w:p>
    <w:p w14:paraId="506CB402">
      <w:pPr>
        <w:numPr>
          <w:ilvl w:val="255"/>
          <w:numId w:val="0"/>
        </w:numPr>
        <w:spacing w:line="560" w:lineRule="exact"/>
        <w:ind w:firstLine="640" w:firstLineChars="200"/>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 xml:space="preserve">3.4 </w:t>
      </w:r>
      <w:r>
        <w:rPr>
          <w:rFonts w:hint="eastAsia" w:ascii="仿宋_GB2312" w:hAnsi="仿宋_GB2312" w:eastAsia="仿宋_GB2312" w:cs="仿宋_GB2312"/>
          <w:color w:val="000000" w:themeColor="text1"/>
          <w:sz w:val="32"/>
          <w:szCs w:val="32"/>
          <w:highlight w:val="none"/>
          <w14:textFill>
            <w14:solidFill>
              <w14:schemeClr w14:val="tx1"/>
            </w14:solidFill>
          </w14:textFill>
        </w:rPr>
        <w:t>乙方在合作</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资产</w:t>
      </w:r>
      <w:r>
        <w:rPr>
          <w:rFonts w:hint="eastAsia" w:ascii="仿宋_GB2312" w:hAnsi="仿宋_GB2312" w:eastAsia="仿宋_GB2312" w:cs="仿宋_GB2312"/>
          <w:color w:val="000000" w:themeColor="text1"/>
          <w:sz w:val="32"/>
          <w:szCs w:val="32"/>
          <w:highlight w:val="none"/>
          <w14:textFill>
            <w14:solidFill>
              <w14:schemeClr w14:val="tx1"/>
            </w14:solidFill>
          </w14:textFill>
        </w:rPr>
        <w:t>上修建</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、改造</w:t>
      </w:r>
      <w:r>
        <w:rPr>
          <w:rFonts w:hint="eastAsia" w:ascii="仿宋_GB2312" w:hAnsi="仿宋_GB2312" w:eastAsia="仿宋_GB2312" w:cs="仿宋_GB2312"/>
          <w:color w:val="000000" w:themeColor="text1"/>
          <w:sz w:val="32"/>
          <w:szCs w:val="32"/>
          <w:highlight w:val="none"/>
          <w14:textFill>
            <w14:solidFill>
              <w14:schemeClr w14:val="tx1"/>
            </w14:solidFill>
          </w14:textFill>
        </w:rPr>
        <w:t>构筑物及其他附属设施的，所需的</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项目规划、建设、消防、经营等相关手续</w:t>
      </w:r>
      <w:r>
        <w:rPr>
          <w:rFonts w:hint="eastAsia" w:ascii="仿宋_GB2312" w:hAnsi="仿宋_GB2312" w:eastAsia="仿宋_GB2312" w:cs="仿宋_GB2312"/>
          <w:color w:val="000000" w:themeColor="text1"/>
          <w:sz w:val="32"/>
          <w:szCs w:val="32"/>
          <w:highlight w:val="none"/>
          <w14:textFill>
            <w14:solidFill>
              <w14:schemeClr w14:val="tx1"/>
            </w14:solidFill>
          </w14:textFill>
        </w:rPr>
        <w:t>均由乙方自行办理，费用和责任由乙方承担</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highlight w:val="none"/>
          <w14:textFill>
            <w14:solidFill>
              <w14:schemeClr w14:val="tx1"/>
            </w14:solidFill>
          </w14:textFill>
        </w:rPr>
        <w:t>甲方应积极</w:t>
      </w:r>
      <w:r>
        <w:rPr>
          <w:rFonts w:hint="eastAsia" w:ascii="仿宋_GB2312" w:hAnsi="仿宋_GB2312" w:eastAsia="仿宋_GB2312" w:cs="仿宋_GB2312"/>
          <w:color w:val="000000" w:themeColor="text1"/>
          <w:kern w:val="2"/>
          <w:sz w:val="32"/>
          <w:szCs w:val="32"/>
          <w:highlight w:val="none"/>
          <w:lang w:val="en-US" w:eastAsia="zh-CN"/>
          <w14:textFill>
            <w14:solidFill>
              <w14:schemeClr w14:val="tx1"/>
            </w14:solidFill>
          </w14:textFill>
        </w:rPr>
        <w:t>协助</w:t>
      </w:r>
      <w:r>
        <w:rPr>
          <w:rFonts w:hint="eastAsia" w:ascii="仿宋_GB2312" w:hAnsi="仿宋_GB2312" w:eastAsia="仿宋_GB2312" w:cs="仿宋_GB2312"/>
          <w:color w:val="000000" w:themeColor="text1"/>
          <w:kern w:val="2"/>
          <w:sz w:val="32"/>
          <w:szCs w:val="32"/>
          <w:highlight w:val="none"/>
          <w14:textFill>
            <w14:solidFill>
              <w14:schemeClr w14:val="tx1"/>
            </w14:solidFill>
          </w14:textFill>
        </w:rPr>
        <w:t>配合</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p>
    <w:p w14:paraId="4165BBDA">
      <w:pPr>
        <w:pStyle w:val="4"/>
        <w:spacing w:line="560" w:lineRule="exact"/>
        <w:ind w:firstLine="640" w:firstLineChars="200"/>
        <w:rPr>
          <w:rFonts w:hint="eastAsia" w:ascii="仿宋_GB2312" w:hAnsi="仿宋_GB2312" w:eastAsia="仿宋_GB2312" w:cs="仿宋_GB2312"/>
          <w:sz w:val="32"/>
          <w:szCs w:val="32"/>
          <w:lang w:val="en-US" w:eastAsia="zh-Hans"/>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3.5 在本协议期满后或因乙方提前提出终止请求或乙方未按期支付合作相关费用等原因导致合作终止的，本项目投资建设的资产</w:t>
      </w:r>
      <w:r>
        <w:rPr>
          <w:rFonts w:hint="eastAsia" w:ascii="仿宋_GB2312" w:hAnsi="仿宋_GB2312" w:eastAsia="仿宋_GB2312" w:cs="仿宋_GB2312"/>
          <w:color w:val="000000" w:themeColor="text1"/>
          <w:sz w:val="32"/>
          <w:szCs w:val="32"/>
          <w:highlight w:val="none"/>
          <w14:textFill>
            <w14:solidFill>
              <w14:schemeClr w14:val="tx1"/>
            </w14:solidFill>
          </w14:textFill>
        </w:rPr>
        <w:t>构筑物及其他</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固定</w:t>
      </w:r>
      <w:r>
        <w:rPr>
          <w:rFonts w:hint="eastAsia" w:ascii="仿宋_GB2312" w:hAnsi="仿宋_GB2312" w:eastAsia="仿宋_GB2312" w:cs="仿宋_GB2312"/>
          <w:color w:val="000000" w:themeColor="text1"/>
          <w:sz w:val="32"/>
          <w:szCs w:val="32"/>
          <w:highlight w:val="none"/>
          <w14:textFill>
            <w14:solidFill>
              <w14:schemeClr w14:val="tx1"/>
            </w14:solidFill>
          </w14:textFill>
        </w:rPr>
        <w:t>附属设施</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所有权归甲方所有，届时如双方继续合作的，另行协商合作方式并签订合作协议，如双方不再继续合作的，乙方应当立即将投资建设的资产</w:t>
      </w:r>
      <w:r>
        <w:rPr>
          <w:rFonts w:hint="eastAsia" w:ascii="仿宋_GB2312" w:hAnsi="仿宋_GB2312" w:eastAsia="仿宋_GB2312" w:cs="仿宋_GB2312"/>
          <w:color w:val="000000" w:themeColor="text1"/>
          <w:sz w:val="32"/>
          <w:szCs w:val="32"/>
          <w:highlight w:val="none"/>
          <w14:textFill>
            <w14:solidFill>
              <w14:schemeClr w14:val="tx1"/>
            </w14:solidFill>
          </w14:textFill>
        </w:rPr>
        <w:t>及其他</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固定</w:t>
      </w:r>
      <w:r>
        <w:rPr>
          <w:rFonts w:hint="eastAsia" w:ascii="仿宋_GB2312" w:hAnsi="仿宋_GB2312" w:eastAsia="仿宋_GB2312" w:cs="仿宋_GB2312"/>
          <w:color w:val="000000" w:themeColor="text1"/>
          <w:sz w:val="32"/>
          <w:szCs w:val="32"/>
          <w:highlight w:val="none"/>
          <w14:textFill>
            <w14:solidFill>
              <w14:schemeClr w14:val="tx1"/>
            </w14:solidFill>
          </w14:textFill>
        </w:rPr>
        <w:t>附属设施</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移交给甲方，逾期未移交的，应按照当年保底收益1.2倍的标准向甲方支付占用费。非甲乙双方原因导致合作终止，资产</w:t>
      </w:r>
      <w:r>
        <w:rPr>
          <w:rFonts w:hint="eastAsia" w:ascii="仿宋_GB2312" w:hAnsi="仿宋_GB2312" w:eastAsia="仿宋_GB2312" w:cs="仿宋_GB2312"/>
          <w:color w:val="000000" w:themeColor="text1"/>
          <w:sz w:val="32"/>
          <w:szCs w:val="32"/>
          <w:highlight w:val="none"/>
          <w14:textFill>
            <w14:solidFill>
              <w14:schemeClr w14:val="tx1"/>
            </w14:solidFill>
          </w14:textFill>
        </w:rPr>
        <w:t>构筑物及其他附属设施</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涉及国家、地方政府拆除补偿收益的，</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按本协议履行年限比率归属双方所有（例：以10年合作期为限，如履行至第四年期满时非甲乙双方原因导致合作终止，则资产构筑物及其他固定附属设施按甲方40%、乙方60%的比率归属各方所有，若未足一年的，则以实际天数按比例计算）。</w:t>
      </w:r>
    </w:p>
    <w:p w14:paraId="2C75B3F7">
      <w:pPr>
        <w:spacing w:line="560" w:lineRule="exact"/>
        <w:ind w:firstLine="643" w:firstLineChars="200"/>
        <w:rPr>
          <w:rFonts w:hint="eastAsia" w:ascii="仿宋_GB2312" w:hAnsi="仿宋_GB2312" w:eastAsia="仿宋_GB2312" w:cs="仿宋_GB2312"/>
          <w:b/>
          <w:bCs/>
          <w:color w:val="000000" w:themeColor="text1"/>
          <w:sz w:val="32"/>
          <w:szCs w:val="32"/>
          <w:highlight w:val="none"/>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14:textFill>
            <w14:solidFill>
              <w14:schemeClr w14:val="tx1"/>
            </w14:solidFill>
          </w14:textFill>
        </w:rPr>
        <w:t>第</w:t>
      </w:r>
      <w:r>
        <w:rPr>
          <w:rFonts w:hint="eastAsia" w:ascii="仿宋_GB2312" w:hAnsi="仿宋_GB2312" w:eastAsia="仿宋_GB2312" w:cs="仿宋_GB2312"/>
          <w:b/>
          <w:bCs/>
          <w:color w:val="000000" w:themeColor="text1"/>
          <w:sz w:val="32"/>
          <w:szCs w:val="32"/>
          <w:highlight w:val="none"/>
          <w:lang w:eastAsia="zh-CN"/>
          <w14:textFill>
            <w14:solidFill>
              <w14:schemeClr w14:val="tx1"/>
            </w14:solidFill>
          </w14:textFill>
        </w:rPr>
        <w:t>四</w:t>
      </w:r>
      <w:r>
        <w:rPr>
          <w:rFonts w:hint="eastAsia" w:ascii="仿宋_GB2312" w:hAnsi="仿宋_GB2312" w:eastAsia="仿宋_GB2312" w:cs="仿宋_GB2312"/>
          <w:b/>
          <w:bCs/>
          <w:color w:val="000000" w:themeColor="text1"/>
          <w:sz w:val="32"/>
          <w:szCs w:val="32"/>
          <w:highlight w:val="none"/>
          <w14:textFill>
            <w14:solidFill>
              <w14:schemeClr w14:val="tx1"/>
            </w14:solidFill>
          </w14:textFill>
        </w:rPr>
        <w:t>条 合作期限</w:t>
      </w:r>
    </w:p>
    <w:p w14:paraId="793BB691">
      <w:pPr>
        <w:spacing w:line="560" w:lineRule="exact"/>
        <w:ind w:firstLine="640" w:firstLineChars="200"/>
        <w:rPr>
          <w:rFonts w:hint="default" w:ascii="仿宋_GB2312" w:hAnsi="仿宋_GB2312" w:eastAsia="仿宋_GB2312" w:cs="仿宋_GB2312"/>
          <w:color w:val="000000" w:themeColor="text1"/>
          <w:sz w:val="32"/>
          <w:szCs w:val="32"/>
          <w:highlight w:val="none"/>
          <w:u w:val="single"/>
          <w:lang w:val="en-US"/>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甲乙双方合作</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有效期约为10年</w:t>
      </w:r>
      <w:r>
        <w:rPr>
          <w:rFonts w:hint="eastAsia" w:ascii="仿宋_GB2312" w:hAnsi="仿宋_GB2312" w:eastAsia="仿宋_GB2312" w:cs="仿宋_GB2312"/>
          <w:color w:val="000000" w:themeColor="text1"/>
          <w:sz w:val="32"/>
          <w:szCs w:val="32"/>
          <w:highlight w:val="none"/>
          <w14:textFill>
            <w14:solidFill>
              <w14:schemeClr w14:val="tx1"/>
            </w14:solidFill>
          </w14:textFill>
        </w:rPr>
        <w:t>，自</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2025年</w:t>
      </w:r>
      <w:r>
        <w:rPr>
          <w:rFonts w:hint="eastAsia" w:ascii="仿宋_GB2312" w:hAnsi="仿宋_GB2312" w:eastAsia="仿宋_GB2312" w:cs="仿宋_GB2312"/>
          <w:color w:val="000000" w:themeColor="text1"/>
          <w:sz w:val="32"/>
          <w:szCs w:val="32"/>
          <w:highlight w:val="none"/>
          <w:u w:val="singl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月</w:t>
      </w:r>
      <w:r>
        <w:rPr>
          <w:rFonts w:hint="eastAsia" w:ascii="仿宋_GB2312" w:hAnsi="仿宋_GB2312" w:eastAsia="仿宋_GB2312" w:cs="仿宋_GB2312"/>
          <w:color w:val="000000" w:themeColor="text1"/>
          <w:sz w:val="32"/>
          <w:szCs w:val="32"/>
          <w:highlight w:val="none"/>
          <w:u w:val="singl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日至2035年</w:t>
      </w:r>
      <w:r>
        <w:rPr>
          <w:rFonts w:hint="eastAsia" w:ascii="仿宋_GB2312" w:hAnsi="仿宋_GB2312" w:eastAsia="仿宋_GB2312" w:cs="仿宋_GB2312"/>
          <w:color w:val="000000" w:themeColor="text1"/>
          <w:sz w:val="32"/>
          <w:szCs w:val="32"/>
          <w:highlight w:val="none"/>
          <w:u w:val="single"/>
          <w:lang w:val="en-US" w:eastAsia="zh-CN"/>
          <w14:textFill>
            <w14:solidFill>
              <w14:schemeClr w14:val="tx1"/>
            </w14:solidFill>
          </w14:textFill>
        </w:rPr>
        <w:t xml:space="preserve"> 2</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月</w:t>
      </w:r>
      <w:r>
        <w:rPr>
          <w:rFonts w:hint="eastAsia" w:ascii="仿宋_GB2312" w:hAnsi="仿宋_GB2312" w:eastAsia="仿宋_GB2312" w:cs="仿宋_GB2312"/>
          <w:color w:val="000000" w:themeColor="text1"/>
          <w:sz w:val="32"/>
          <w:szCs w:val="32"/>
          <w:highlight w:val="none"/>
          <w:u w:val="single"/>
          <w:lang w:val="en-US" w:eastAsia="zh-CN"/>
          <w14:textFill>
            <w14:solidFill>
              <w14:schemeClr w14:val="tx1"/>
            </w14:solidFill>
          </w14:textFill>
        </w:rPr>
        <w:t xml:space="preserve"> 7 </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日</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14:textFill>
            <w14:solidFill>
              <w14:schemeClr w14:val="tx1"/>
            </w14:solidFill>
          </w14:textFill>
        </w:rPr>
        <w:t>合作期内每5年进行一次补充协议签订</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，确定下一个五年周期的保底收益分配标准。</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双方若未能在5年届满时签订下一期补充协议，则保底收益按照分配标准按照每平方增加</w:t>
      </w:r>
      <w:r>
        <w:rPr>
          <w:rFonts w:hint="eastAsia" w:ascii="仿宋_GB2312" w:hAnsi="仿宋_GB2312" w:eastAsia="仿宋_GB2312" w:cs="仿宋_GB2312"/>
          <w:color w:val="000000" w:themeColor="text1"/>
          <w:sz w:val="32"/>
          <w:szCs w:val="32"/>
          <w:highlight w:val="none"/>
          <w:u w:val="singl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%的比例计算。</w:t>
      </w:r>
    </w:p>
    <w:p w14:paraId="765A9645">
      <w:pPr>
        <w:spacing w:line="560" w:lineRule="exact"/>
        <w:ind w:firstLine="643" w:firstLineChars="200"/>
        <w:rPr>
          <w:rFonts w:hint="eastAsia" w:ascii="仿宋_GB2312" w:hAnsi="仿宋_GB2312" w:eastAsia="仿宋_GB2312" w:cs="仿宋_GB2312"/>
          <w:b/>
          <w:bCs/>
          <w:color w:val="000000" w:themeColor="text1"/>
          <w:sz w:val="32"/>
          <w:szCs w:val="32"/>
          <w:highlight w:val="none"/>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14:textFill>
            <w14:solidFill>
              <w14:schemeClr w14:val="tx1"/>
            </w14:solidFill>
          </w14:textFill>
        </w:rPr>
        <w:t>第</w:t>
      </w:r>
      <w:r>
        <w:rPr>
          <w:rFonts w:hint="eastAsia" w:ascii="仿宋_GB2312" w:hAnsi="仿宋_GB2312" w:eastAsia="仿宋_GB2312" w:cs="仿宋_GB2312"/>
          <w:b/>
          <w:bCs/>
          <w:color w:val="000000" w:themeColor="text1"/>
          <w:sz w:val="32"/>
          <w:szCs w:val="32"/>
          <w:highlight w:val="none"/>
          <w:lang w:eastAsia="zh-CN"/>
          <w14:textFill>
            <w14:solidFill>
              <w14:schemeClr w14:val="tx1"/>
            </w14:solidFill>
          </w14:textFill>
        </w:rPr>
        <w:t>五</w:t>
      </w:r>
      <w:r>
        <w:rPr>
          <w:rFonts w:hint="eastAsia" w:ascii="仿宋_GB2312" w:hAnsi="仿宋_GB2312" w:eastAsia="仿宋_GB2312" w:cs="仿宋_GB2312"/>
          <w:b/>
          <w:bCs/>
          <w:color w:val="000000" w:themeColor="text1"/>
          <w:sz w:val="32"/>
          <w:szCs w:val="32"/>
          <w:highlight w:val="none"/>
          <w14:textFill>
            <w14:solidFill>
              <w14:schemeClr w14:val="tx1"/>
            </w14:solidFill>
          </w14:textFill>
        </w:rPr>
        <w:t>条 合作收益分配</w:t>
      </w:r>
    </w:p>
    <w:p w14:paraId="7B2DA0DF">
      <w:pPr>
        <w:spacing w:line="560" w:lineRule="exact"/>
        <w:ind w:firstLine="640" w:firstLineChars="200"/>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甲方</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提供</w:t>
      </w:r>
      <w:r>
        <w:rPr>
          <w:rFonts w:hint="eastAsia" w:ascii="仿宋_GB2312" w:hAnsi="仿宋_GB2312" w:eastAsia="仿宋_GB2312" w:cs="仿宋_GB2312"/>
          <w:color w:val="000000" w:themeColor="text1"/>
          <w:sz w:val="32"/>
          <w:szCs w:val="32"/>
          <w:highlight w:val="none"/>
          <w14:textFill>
            <w14:solidFill>
              <w14:schemeClr w14:val="tx1"/>
            </w14:solidFill>
          </w14:textFill>
        </w:rPr>
        <w:t>云岩区</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富水北路天恒城市花园恒天大厦北楼办公用房</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所属</w:t>
      </w:r>
      <w:r>
        <w:rPr>
          <w:rFonts w:hint="eastAsia" w:ascii="仿宋_GB2312" w:hAnsi="仿宋_GB2312" w:eastAsia="仿宋_GB2312" w:cs="仿宋_GB2312"/>
          <w:color w:val="000000" w:themeColor="text1"/>
          <w:sz w:val="32"/>
          <w:szCs w:val="32"/>
          <w:highlight w:val="none"/>
          <w14:textFill>
            <w14:solidFill>
              <w14:schemeClr w14:val="tx1"/>
            </w14:solidFill>
          </w14:textFill>
        </w:rPr>
        <w:t>资产的</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使用权，</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采取“</w:t>
      </w:r>
      <w:r>
        <w:rPr>
          <w:rFonts w:hint="eastAsia" w:ascii="仿宋_GB2312" w:hAnsi="仿宋_GB2312" w:eastAsia="仿宋_GB2312" w:cs="仿宋_GB2312"/>
          <w:color w:val="000000" w:themeColor="text1"/>
          <w:sz w:val="32"/>
          <w:szCs w:val="32"/>
          <w:highlight w:val="none"/>
          <w14:textFill>
            <w14:solidFill>
              <w14:schemeClr w14:val="tx1"/>
            </w14:solidFill>
          </w14:textFill>
        </w:rPr>
        <w:t>保底收益</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14:textFill>
            <w14:solidFill>
              <w14:schemeClr w14:val="tx1"/>
            </w14:solidFill>
          </w14:textFill>
        </w:rPr>
        <w:t>与</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14:textFill>
            <w14:solidFill>
              <w14:schemeClr w14:val="tx1"/>
            </w14:solidFill>
          </w14:textFill>
        </w:rPr>
        <w:t>营业</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总</w:t>
      </w:r>
      <w:r>
        <w:rPr>
          <w:rFonts w:hint="eastAsia" w:ascii="仿宋_GB2312" w:hAnsi="仿宋_GB2312" w:eastAsia="仿宋_GB2312" w:cs="仿宋_GB2312"/>
          <w:color w:val="000000" w:themeColor="text1"/>
          <w:sz w:val="32"/>
          <w:szCs w:val="32"/>
          <w:highlight w:val="none"/>
          <w14:textFill>
            <w14:solidFill>
              <w14:schemeClr w14:val="tx1"/>
            </w14:solidFill>
          </w14:textFill>
        </w:rPr>
        <w:t>收</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入的</w:t>
      </w:r>
      <w:r>
        <w:rPr>
          <w:rFonts w:hint="eastAsia" w:ascii="仿宋_GB2312" w:hAnsi="仿宋_GB2312" w:eastAsia="仿宋_GB2312" w:cs="仿宋_GB2312"/>
          <w:color w:val="000000" w:themeColor="text1"/>
          <w:sz w:val="32"/>
          <w:szCs w:val="32"/>
          <w:highlight w:val="none"/>
          <w14:textFill>
            <w14:solidFill>
              <w14:schemeClr w14:val="tx1"/>
            </w14:solidFill>
          </w14:textFill>
        </w:rPr>
        <w:t>16%</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”二者取其高的原则确定收益分配金额，</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乙方</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按季度</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向甲方</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支付保底收益，并于年初提供上一年度的财务报表，经甲方财务审核后确定营业收入提成与保底收益，进行差额补交工作，本项目收益</w:t>
      </w:r>
      <w:r>
        <w:rPr>
          <w:rFonts w:hint="eastAsia" w:ascii="仿宋_GB2312" w:hAnsi="仿宋_GB2312" w:eastAsia="仿宋_GB2312" w:cs="仿宋_GB2312"/>
          <w:color w:val="000000" w:themeColor="text1"/>
          <w:sz w:val="32"/>
          <w:szCs w:val="32"/>
          <w:highlight w:val="none"/>
          <w14:textFill>
            <w14:solidFill>
              <w14:schemeClr w14:val="tx1"/>
            </w14:solidFill>
          </w14:textFill>
        </w:rPr>
        <w:t>均为含税</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金额，</w:t>
      </w:r>
      <w:r>
        <w:rPr>
          <w:rFonts w:hint="eastAsia" w:ascii="仿宋_GB2312" w:hAnsi="仿宋_GB2312" w:eastAsia="仿宋_GB2312" w:cs="仿宋_GB2312"/>
          <w:color w:val="000000" w:themeColor="text1"/>
          <w:sz w:val="32"/>
          <w:szCs w:val="32"/>
          <w:highlight w:val="none"/>
          <w14:textFill>
            <w14:solidFill>
              <w14:schemeClr w14:val="tx1"/>
            </w14:solidFill>
          </w14:textFill>
        </w:rPr>
        <w:t>具体计算标准如下：</w:t>
      </w:r>
    </w:p>
    <w:p w14:paraId="0E97D842">
      <w:pPr>
        <w:spacing w:line="560" w:lineRule="exact"/>
        <w:ind w:firstLine="640" w:firstLineChars="200"/>
        <w:rPr>
          <w:rFonts w:hint="default"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 xml:space="preserve">5.1 </w:t>
      </w:r>
      <w:r>
        <w:rPr>
          <w:rFonts w:hint="eastAsia" w:ascii="仿宋_GB2312" w:hAnsi="仿宋_GB2312" w:eastAsia="仿宋_GB2312" w:cs="仿宋_GB2312"/>
          <w:b w:val="0"/>
          <w:bCs w:val="0"/>
          <w:color w:val="000000" w:themeColor="text1"/>
          <w:sz w:val="32"/>
          <w:szCs w:val="32"/>
          <w:highlight w:val="none"/>
          <w14:textFill>
            <w14:solidFill>
              <w14:schemeClr w14:val="tx1"/>
            </w14:solidFill>
          </w14:textFill>
        </w:rPr>
        <w:t>保底</w:t>
      </w:r>
      <w:r>
        <w:rPr>
          <w:rFonts w:hint="eastAsia" w:ascii="仿宋_GB2312" w:hAnsi="仿宋_GB2312" w:eastAsia="仿宋_GB2312" w:cs="仿宋_GB2312"/>
          <w:b w:val="0"/>
          <w:bCs w:val="0"/>
          <w:color w:val="000000" w:themeColor="text1"/>
          <w:sz w:val="32"/>
          <w:szCs w:val="32"/>
          <w:highlight w:val="none"/>
          <w:lang w:eastAsia="zh-CN"/>
          <w14:textFill>
            <w14:solidFill>
              <w14:schemeClr w14:val="tx1"/>
            </w14:solidFill>
          </w14:textFill>
        </w:rPr>
        <w:t>收益</w:t>
      </w: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计算标准</w:t>
      </w:r>
    </w:p>
    <w:p w14:paraId="11B6AF0B">
      <w:pPr>
        <w:numPr>
          <w:ilvl w:val="-1"/>
          <w:numId w:val="0"/>
        </w:numPr>
        <w:spacing w:line="560" w:lineRule="exact"/>
        <w:ind w:left="0" w:leftChars="0" w:firstLine="640" w:firstLineChars="200"/>
        <w:jc w:val="left"/>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5.1.1 自本协议签订之日起的第一个五年内（即</w:t>
      </w:r>
      <w:r>
        <w:rPr>
          <w:rFonts w:hint="eastAsia" w:ascii="仿宋_GB2312" w:hAnsi="仿宋_GB2312" w:eastAsia="仿宋_GB2312" w:cs="仿宋_GB2312"/>
          <w:color w:val="000000" w:themeColor="text1"/>
          <w:sz w:val="32"/>
          <w:szCs w:val="32"/>
          <w:highlight w:val="none"/>
          <w:u w:val="singl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年</w:t>
      </w:r>
      <w:r>
        <w:rPr>
          <w:rFonts w:hint="eastAsia" w:ascii="仿宋_GB2312" w:hAnsi="仿宋_GB2312" w:eastAsia="仿宋_GB2312" w:cs="仿宋_GB2312"/>
          <w:color w:val="000000" w:themeColor="text1"/>
          <w:sz w:val="32"/>
          <w:szCs w:val="32"/>
          <w:highlight w:val="none"/>
          <w:u w:val="singl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月</w:t>
      </w:r>
      <w:r>
        <w:rPr>
          <w:rFonts w:hint="eastAsia" w:ascii="仿宋_GB2312" w:hAnsi="仿宋_GB2312" w:eastAsia="仿宋_GB2312" w:cs="仿宋_GB2312"/>
          <w:color w:val="000000" w:themeColor="text1"/>
          <w:sz w:val="32"/>
          <w:szCs w:val="32"/>
          <w:highlight w:val="none"/>
          <w:u w:val="singl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日起至</w:t>
      </w:r>
      <w:r>
        <w:rPr>
          <w:rFonts w:hint="eastAsia" w:ascii="仿宋_GB2312" w:hAnsi="仿宋_GB2312" w:eastAsia="仿宋_GB2312" w:cs="仿宋_GB2312"/>
          <w:color w:val="000000" w:themeColor="text1"/>
          <w:sz w:val="32"/>
          <w:szCs w:val="32"/>
          <w:highlight w:val="none"/>
          <w:u w:val="singl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年</w:t>
      </w:r>
      <w:r>
        <w:rPr>
          <w:rFonts w:hint="eastAsia" w:ascii="仿宋_GB2312" w:hAnsi="仿宋_GB2312" w:eastAsia="仿宋_GB2312" w:cs="仿宋_GB2312"/>
          <w:color w:val="000000" w:themeColor="text1"/>
          <w:sz w:val="32"/>
          <w:szCs w:val="32"/>
          <w:highlight w:val="none"/>
          <w:u w:val="singl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月</w:t>
      </w:r>
      <w:r>
        <w:rPr>
          <w:rFonts w:hint="eastAsia" w:ascii="仿宋_GB2312" w:hAnsi="仿宋_GB2312" w:eastAsia="仿宋_GB2312" w:cs="仿宋_GB2312"/>
          <w:color w:val="000000" w:themeColor="text1"/>
          <w:sz w:val="32"/>
          <w:szCs w:val="32"/>
          <w:highlight w:val="none"/>
          <w:u w:val="singl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日止）</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乙方应向甲方分配的</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保底收益为</w:t>
      </w:r>
      <w:r>
        <w:rPr>
          <w:rFonts w:hint="eastAsia" w:ascii="仿宋_GB2312" w:hAnsi="仿宋_GB2312" w:eastAsia="仿宋_GB2312" w:cs="仿宋_GB2312"/>
          <w:color w:val="000000" w:themeColor="text1"/>
          <w:sz w:val="32"/>
          <w:szCs w:val="32"/>
          <w:highlight w:val="none"/>
          <w14:textFill>
            <w14:solidFill>
              <w14:schemeClr w14:val="tx1"/>
            </w14:solidFill>
          </w14:textFill>
        </w:rPr>
        <w:t>¥</w:t>
      </w:r>
      <w:r>
        <w:rPr>
          <w:rFonts w:hint="eastAsia" w:ascii="仿宋_GB2312" w:hAnsi="仿宋_GB2312" w:eastAsia="仿宋_GB2312" w:cs="仿宋_GB2312"/>
          <w:color w:val="000000" w:themeColor="text1"/>
          <w:sz w:val="32"/>
          <w:szCs w:val="32"/>
          <w:highlight w:val="none"/>
          <w:u w:val="singl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14:textFill>
            <w14:solidFill>
              <w14:schemeClr w14:val="tx1"/>
            </w14:solidFill>
          </w14:textFill>
        </w:rPr>
        <w:t>元</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/季度</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，即房屋资产</w:t>
      </w:r>
      <w:r>
        <w:rPr>
          <w:rFonts w:hint="eastAsia" w:ascii="仿宋_GB2312" w:hAnsi="仿宋_GB2312" w:eastAsia="仿宋_GB2312" w:cs="仿宋_GB2312"/>
          <w:color w:val="000000" w:themeColor="text1"/>
          <w:sz w:val="32"/>
          <w:szCs w:val="32"/>
          <w:highlight w:val="none"/>
          <w:u w:val="singl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元/㎡/月</w:t>
      </w:r>
      <w:r>
        <w:rPr>
          <w:rFonts w:hint="eastAsia" w:ascii="仿宋_GB2312" w:hAnsi="仿宋_GB2312" w:eastAsia="仿宋_GB2312" w:cs="仿宋_GB2312"/>
          <w:color w:val="000000" w:themeColor="text1"/>
          <w:sz w:val="32"/>
          <w:szCs w:val="32"/>
          <w:highlight w:val="none"/>
          <w14:textFill>
            <w14:solidFill>
              <w14:schemeClr w14:val="tx1"/>
            </w14:solidFill>
          </w14:textFill>
        </w:rPr>
        <w:t>。</w:t>
      </w:r>
    </w:p>
    <w:p w14:paraId="59A3D7E6">
      <w:pPr>
        <w:numPr>
          <w:ilvl w:val="0"/>
          <w:numId w:val="0"/>
        </w:numPr>
        <w:spacing w:line="560" w:lineRule="exact"/>
        <w:ind w:leftChars="0" w:firstLine="640" w:firstLineChars="200"/>
        <w:jc w:val="left"/>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5.1.2 免除建设期保底收益。</w:t>
      </w:r>
    </w:p>
    <w:p w14:paraId="3A1825EE">
      <w:pPr>
        <w:spacing w:line="560" w:lineRule="exact"/>
        <w:ind w:firstLine="640" w:firstLineChars="200"/>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 xml:space="preserve">5.1.3 </w:t>
      </w:r>
      <w:r>
        <w:rPr>
          <w:rFonts w:hint="eastAsia" w:ascii="仿宋_GB2312" w:hAnsi="仿宋_GB2312" w:eastAsia="仿宋_GB2312" w:cs="仿宋_GB2312"/>
          <w:color w:val="000000" w:themeColor="text1"/>
          <w:sz w:val="32"/>
          <w:szCs w:val="32"/>
          <w:highlight w:val="none"/>
          <w14:textFill>
            <w14:solidFill>
              <w14:schemeClr w14:val="tx1"/>
            </w14:solidFill>
          </w14:textFill>
        </w:rPr>
        <w:t>在</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合作期</w:t>
      </w:r>
      <w:r>
        <w:rPr>
          <w:rFonts w:hint="eastAsia" w:ascii="仿宋_GB2312" w:hAnsi="仿宋_GB2312" w:eastAsia="仿宋_GB2312" w:cs="仿宋_GB2312"/>
          <w:color w:val="000000" w:themeColor="text1"/>
          <w:sz w:val="32"/>
          <w:szCs w:val="32"/>
          <w:highlight w:val="none"/>
          <w14:textFill>
            <w14:solidFill>
              <w14:schemeClr w14:val="tx1"/>
            </w14:solidFill>
          </w14:textFill>
        </w:rPr>
        <w:t>内，</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本项目甲方保底收益每</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5年在上一合作期的基础上进行一次固定增涨</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增幅区间为</w:t>
      </w:r>
      <w:r>
        <w:rPr>
          <w:rFonts w:hint="eastAsia" w:ascii="仿宋_GB2312" w:hAnsi="仿宋_GB2312" w:eastAsia="仿宋_GB2312" w:cs="仿宋_GB2312"/>
          <w:color w:val="000000" w:themeColor="text1"/>
          <w:sz w:val="32"/>
          <w:szCs w:val="32"/>
          <w:highlight w:val="none"/>
          <w14:textFill>
            <w14:solidFill>
              <w14:schemeClr w14:val="tx1"/>
            </w14:solidFill>
          </w14:textFill>
        </w:rPr>
        <w:t>5%-20%，</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最终增幅</w:t>
      </w:r>
      <w:r>
        <w:rPr>
          <w:rFonts w:hint="eastAsia" w:ascii="仿宋_GB2312" w:hAnsi="仿宋_GB2312" w:eastAsia="仿宋_GB2312" w:cs="仿宋_GB2312"/>
          <w:color w:val="000000" w:themeColor="text1"/>
          <w:sz w:val="32"/>
          <w:szCs w:val="32"/>
          <w:highlight w:val="none"/>
          <w14:textFill>
            <w14:solidFill>
              <w14:schemeClr w14:val="tx1"/>
            </w14:solidFill>
          </w14:textFill>
        </w:rPr>
        <w:t>以最接近</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当年有效</w:t>
      </w:r>
      <w:r>
        <w:rPr>
          <w:rFonts w:hint="eastAsia" w:ascii="仿宋_GB2312" w:hAnsi="仿宋_GB2312" w:eastAsia="仿宋_GB2312" w:cs="仿宋_GB2312"/>
          <w:color w:val="000000" w:themeColor="text1"/>
          <w:sz w:val="32"/>
          <w:szCs w:val="32"/>
          <w:highlight w:val="none"/>
          <w14:textFill>
            <w14:solidFill>
              <w14:schemeClr w14:val="tx1"/>
            </w14:solidFill>
          </w14:textFill>
        </w:rPr>
        <w:t>评估价</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的</w:t>
      </w:r>
      <w:r>
        <w:rPr>
          <w:rFonts w:hint="eastAsia" w:ascii="仿宋_GB2312" w:hAnsi="仿宋_GB2312" w:eastAsia="仿宋_GB2312" w:cs="仿宋_GB2312"/>
          <w:color w:val="000000" w:themeColor="text1"/>
          <w:sz w:val="32"/>
          <w:szCs w:val="32"/>
          <w:highlight w:val="none"/>
          <w14:textFill>
            <w14:solidFill>
              <w14:schemeClr w14:val="tx1"/>
            </w14:solidFill>
          </w14:textFill>
        </w:rPr>
        <w:t>金额</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标准确定，并以此保底收益为标准签订下一</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5</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年周期的补充协议</w:t>
      </w:r>
      <w:r>
        <w:rPr>
          <w:rFonts w:hint="eastAsia" w:ascii="仿宋_GB2312" w:hAnsi="仿宋_GB2312" w:eastAsia="仿宋_GB2312" w:cs="仿宋_GB2312"/>
          <w:color w:val="000000" w:themeColor="text1"/>
          <w:sz w:val="32"/>
          <w:szCs w:val="32"/>
          <w:highlight w:val="none"/>
          <w14:textFill>
            <w14:solidFill>
              <w14:schemeClr w14:val="tx1"/>
            </w14:solidFill>
          </w14:textFill>
        </w:rPr>
        <w:t>。</w:t>
      </w:r>
    </w:p>
    <w:p w14:paraId="07CE9198">
      <w:pPr>
        <w:spacing w:line="560" w:lineRule="exact"/>
        <w:ind w:firstLine="643" w:firstLineChars="200"/>
        <w:rPr>
          <w:rFonts w:hint="default"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lang w:val="en-US" w:eastAsia="zh-CN"/>
          <w14:textFill>
            <w14:solidFill>
              <w14:schemeClr w14:val="tx1"/>
            </w14:solidFill>
          </w14:textFill>
        </w:rPr>
        <w:t xml:space="preserve">5.2 </w:t>
      </w:r>
      <w:r>
        <w:rPr>
          <w:rFonts w:hint="eastAsia" w:ascii="仿宋_GB2312" w:hAnsi="仿宋_GB2312" w:eastAsia="仿宋_GB2312" w:cs="仿宋_GB2312"/>
          <w:b w:val="0"/>
          <w:bCs w:val="0"/>
          <w:color w:val="000000" w:themeColor="text1"/>
          <w:sz w:val="32"/>
          <w:szCs w:val="32"/>
          <w:highlight w:val="none"/>
          <w14:textFill>
            <w14:solidFill>
              <w14:schemeClr w14:val="tx1"/>
            </w14:solidFill>
          </w14:textFill>
        </w:rPr>
        <w:t>营业</w:t>
      </w: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总收入16%</w:t>
      </w:r>
      <w:r>
        <w:rPr>
          <w:rFonts w:hint="eastAsia" w:ascii="仿宋_GB2312" w:hAnsi="仿宋_GB2312" w:eastAsia="仿宋_GB2312" w:cs="仿宋_GB2312"/>
          <w:b w:val="0"/>
          <w:bCs w:val="0"/>
          <w:color w:val="000000" w:themeColor="text1"/>
          <w:sz w:val="32"/>
          <w:szCs w:val="32"/>
          <w:highlight w:val="none"/>
          <w14:textFill>
            <w14:solidFill>
              <w14:schemeClr w14:val="tx1"/>
            </w14:solidFill>
          </w14:textFill>
        </w:rPr>
        <w:t>分成</w:t>
      </w: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收取方式</w:t>
      </w:r>
    </w:p>
    <w:p w14:paraId="23C3D003">
      <w:pPr>
        <w:pStyle w:val="2"/>
        <w:spacing w:line="560" w:lineRule="exact"/>
        <w:ind w:left="0" w:leftChars="0"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5.2.1</w:t>
      </w:r>
      <w:r>
        <w:rPr>
          <w:rFonts w:hint="eastAsia" w:ascii="仿宋_GB2312" w:hAnsi="仿宋_GB2312" w:eastAsia="仿宋_GB2312" w:cs="仿宋_GB2312"/>
          <w:color w:val="000000" w:themeColor="text1"/>
          <w:sz w:val="32"/>
          <w:szCs w:val="32"/>
          <w:highlight w:val="none"/>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乙方应于</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次季度首月15个自然日之前，向甲方提供上一季度的财务报表。</w:t>
      </w:r>
    </w:p>
    <w:p w14:paraId="7A582CF0">
      <w:pPr>
        <w:spacing w:line="560" w:lineRule="exact"/>
        <w:ind w:firstLine="640" w:firstLineChars="200"/>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5.2.2营业收入以乙方年度财务报表为计算依据，其中季度财务报表需由乙方签字确认后加盖公章，年度财务报表以经会计师事务所审计后形成的年度审计报告为准。</w:t>
      </w:r>
    </w:p>
    <w:p w14:paraId="53B45C58">
      <w:pPr>
        <w:spacing w:line="560" w:lineRule="exact"/>
        <w:ind w:firstLine="640" w:firstLineChars="200"/>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5.2.3 乙方应于每年3月31日前将上一年度审计报告提交甲方审核全年经营收入。</w:t>
      </w:r>
    </w:p>
    <w:p w14:paraId="4B6BD520">
      <w:pPr>
        <w:spacing w:line="560" w:lineRule="exact"/>
        <w:ind w:firstLine="643" w:firstLineChars="200"/>
        <w:rPr>
          <w:rFonts w:hint="eastAsia" w:ascii="仿宋_GB2312" w:hAnsi="仿宋_GB2312" w:eastAsia="仿宋_GB2312" w:cs="仿宋_GB2312"/>
          <w:b/>
          <w:bCs/>
          <w:color w:val="000000" w:themeColor="text1"/>
          <w:sz w:val="32"/>
          <w:szCs w:val="32"/>
          <w:highlight w:val="none"/>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14:textFill>
            <w14:solidFill>
              <w14:schemeClr w14:val="tx1"/>
            </w14:solidFill>
          </w14:textFill>
        </w:rPr>
        <w:t>第</w:t>
      </w:r>
      <w:r>
        <w:rPr>
          <w:rFonts w:hint="eastAsia" w:ascii="仿宋_GB2312" w:hAnsi="仿宋_GB2312" w:eastAsia="仿宋_GB2312" w:cs="仿宋_GB2312"/>
          <w:b/>
          <w:bCs/>
          <w:color w:val="000000" w:themeColor="text1"/>
          <w:sz w:val="32"/>
          <w:szCs w:val="32"/>
          <w:highlight w:val="none"/>
          <w:lang w:eastAsia="zh-CN"/>
          <w14:textFill>
            <w14:solidFill>
              <w14:schemeClr w14:val="tx1"/>
            </w14:solidFill>
          </w14:textFill>
        </w:rPr>
        <w:t>六</w:t>
      </w:r>
      <w:r>
        <w:rPr>
          <w:rFonts w:hint="eastAsia" w:ascii="仿宋_GB2312" w:hAnsi="仿宋_GB2312" w:eastAsia="仿宋_GB2312" w:cs="仿宋_GB2312"/>
          <w:b/>
          <w:bCs/>
          <w:color w:val="000000" w:themeColor="text1"/>
          <w:sz w:val="32"/>
          <w:szCs w:val="32"/>
          <w:highlight w:val="none"/>
          <w14:textFill>
            <w14:solidFill>
              <w14:schemeClr w14:val="tx1"/>
            </w14:solidFill>
          </w14:textFill>
        </w:rPr>
        <w:t>条 支付方式</w:t>
      </w:r>
    </w:p>
    <w:p w14:paraId="2E24CB2E">
      <w:pPr>
        <w:spacing w:line="560" w:lineRule="exact"/>
        <w:ind w:firstLine="640" w:firstLineChars="200"/>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6.1</w:t>
      </w:r>
      <w:r>
        <w:rPr>
          <w:rFonts w:hint="eastAsia" w:ascii="仿宋_GB2312" w:hAnsi="仿宋_GB2312" w:eastAsia="仿宋_GB2312" w:cs="仿宋_GB2312"/>
          <w:color w:val="000000" w:themeColor="text1"/>
          <w:sz w:val="32"/>
          <w:szCs w:val="32"/>
          <w:highlight w:val="none"/>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保底收益采取先支付后使用的方式，于每季度开始前10个工作日内由乙方向甲方指定的银行账户完成下一季度的分配支付</w:t>
      </w:r>
      <w:r>
        <w:rPr>
          <w:rFonts w:hint="eastAsia" w:ascii="仿宋_GB2312" w:hAnsi="仿宋_GB2312" w:eastAsia="仿宋_GB2312" w:cs="仿宋_GB2312"/>
          <w:color w:val="000000" w:themeColor="text1"/>
          <w:sz w:val="32"/>
          <w:szCs w:val="32"/>
          <w:highlight w:val="none"/>
          <w14:textFill>
            <w14:solidFill>
              <w14:schemeClr w14:val="tx1"/>
            </w14:solidFill>
          </w14:textFill>
        </w:rPr>
        <w:t>。</w:t>
      </w:r>
    </w:p>
    <w:p w14:paraId="512848D9">
      <w:pPr>
        <w:spacing w:line="560" w:lineRule="exact"/>
        <w:ind w:firstLine="640" w:firstLineChars="200"/>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6.2</w:t>
      </w:r>
      <w:r>
        <w:rPr>
          <w:rFonts w:hint="eastAsia" w:ascii="仿宋_GB2312" w:hAnsi="仿宋_GB2312" w:eastAsia="仿宋_GB2312" w:cs="仿宋_GB2312"/>
          <w:color w:val="000000" w:themeColor="text1"/>
          <w:sz w:val="32"/>
          <w:szCs w:val="32"/>
          <w:highlight w:val="none"/>
          <w14:textFill>
            <w14:solidFill>
              <w14:schemeClr w14:val="tx1"/>
            </w14:solidFill>
          </w14:textFill>
        </w:rPr>
        <w:t xml:space="preserve"> 甲方指定银行账户：</w:t>
      </w:r>
    </w:p>
    <w:p w14:paraId="2F515CC9">
      <w:pPr>
        <w:spacing w:line="560" w:lineRule="exact"/>
        <w:ind w:firstLine="640" w:firstLineChars="200"/>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账户名称：</w:t>
      </w:r>
    </w:p>
    <w:p w14:paraId="2C45FEC1">
      <w:pPr>
        <w:spacing w:line="560" w:lineRule="exact"/>
        <w:ind w:firstLine="640" w:firstLineChars="200"/>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开</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14:textFill>
            <w14:solidFill>
              <w14:schemeClr w14:val="tx1"/>
            </w14:solidFill>
          </w14:textFill>
        </w:rPr>
        <w:t>户</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14:textFill>
            <w14:solidFill>
              <w14:schemeClr w14:val="tx1"/>
            </w14:solidFill>
          </w14:textFill>
        </w:rPr>
        <w:t>行：</w:t>
      </w:r>
    </w:p>
    <w:p w14:paraId="5A7A8789">
      <w:pPr>
        <w:spacing w:line="560" w:lineRule="exact"/>
        <w:ind w:firstLine="640" w:firstLineChars="200"/>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账</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14:textFill>
            <w14:solidFill>
              <w14:schemeClr w14:val="tx1"/>
            </w14:solidFill>
          </w14:textFill>
        </w:rPr>
        <w:t>号：</w:t>
      </w:r>
    </w:p>
    <w:p w14:paraId="22E0F7C8">
      <w:pPr>
        <w:numPr>
          <w:ilvl w:val="-1"/>
          <w:numId w:val="0"/>
        </w:numPr>
        <w:spacing w:line="560" w:lineRule="exact"/>
        <w:ind w:left="0" w:firstLine="643" w:firstLineChars="200"/>
        <w:rPr>
          <w:rFonts w:hint="eastAsia" w:ascii="仿宋_GB2312" w:hAnsi="仿宋_GB2312" w:eastAsia="仿宋_GB2312" w:cs="仿宋_GB2312"/>
          <w:b w:val="0"/>
          <w:color w:val="000000" w:themeColor="text1"/>
          <w:sz w:val="32"/>
          <w:szCs w:val="32"/>
          <w:highlight w:val="none"/>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14:textFill>
            <w14:solidFill>
              <w14:schemeClr w14:val="tx1"/>
            </w14:solidFill>
          </w14:textFill>
        </w:rPr>
        <w:t>第</w:t>
      </w:r>
      <w:r>
        <w:rPr>
          <w:rFonts w:hint="eastAsia" w:ascii="仿宋_GB2312" w:hAnsi="仿宋_GB2312" w:eastAsia="仿宋_GB2312" w:cs="仿宋_GB2312"/>
          <w:b/>
          <w:bCs/>
          <w:color w:val="000000" w:themeColor="text1"/>
          <w:sz w:val="32"/>
          <w:szCs w:val="32"/>
          <w:highlight w:val="none"/>
          <w:lang w:eastAsia="zh-CN"/>
          <w14:textFill>
            <w14:solidFill>
              <w14:schemeClr w14:val="tx1"/>
            </w14:solidFill>
          </w14:textFill>
        </w:rPr>
        <w:t>七</w:t>
      </w:r>
      <w:r>
        <w:rPr>
          <w:rFonts w:hint="eastAsia" w:ascii="仿宋_GB2312" w:hAnsi="仿宋_GB2312" w:eastAsia="仿宋_GB2312" w:cs="仿宋_GB2312"/>
          <w:b/>
          <w:bCs/>
          <w:color w:val="000000" w:themeColor="text1"/>
          <w:sz w:val="32"/>
          <w:szCs w:val="32"/>
          <w:highlight w:val="none"/>
          <w14:textFill>
            <w14:solidFill>
              <w14:schemeClr w14:val="tx1"/>
            </w14:solidFill>
          </w14:textFill>
        </w:rPr>
        <w:t>条 履约保证金和其他费用</w:t>
      </w:r>
    </w:p>
    <w:p w14:paraId="76B9820A">
      <w:pPr>
        <w:spacing w:line="560" w:lineRule="exact"/>
        <w:ind w:firstLine="640" w:firstLineChars="200"/>
        <w:rPr>
          <w:rFonts w:hint="eastAsia" w:ascii="仿宋_GB2312" w:hAnsi="仿宋_GB2312" w:eastAsia="仿宋_GB2312" w:cs="仿宋_GB2312"/>
          <w:b w:val="0"/>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7</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 xml:space="preserve">.1 </w:t>
      </w:r>
      <w:r>
        <w:rPr>
          <w:rFonts w:hint="eastAsia" w:ascii="仿宋_GB2312" w:hAnsi="仿宋_GB2312" w:eastAsia="仿宋_GB2312" w:cs="仿宋_GB2312"/>
          <w:color w:val="000000" w:themeColor="text1"/>
          <w:sz w:val="32"/>
          <w:szCs w:val="32"/>
          <w:highlight w:val="none"/>
          <w14:textFill>
            <w14:solidFill>
              <w14:schemeClr w14:val="tx1"/>
            </w14:solidFill>
          </w14:textFill>
        </w:rPr>
        <w:t>甲乙双方约定，</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本协议签订后</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3个工作日内</w:t>
      </w:r>
      <w:r>
        <w:rPr>
          <w:rFonts w:hint="eastAsia" w:ascii="仿宋_GB2312" w:hAnsi="仿宋_GB2312" w:eastAsia="仿宋_GB2312" w:cs="仿宋_GB2312"/>
          <w:color w:val="000000" w:themeColor="text1"/>
          <w:sz w:val="32"/>
          <w:szCs w:val="32"/>
          <w:highlight w:val="none"/>
          <w14:textFill>
            <w14:solidFill>
              <w14:schemeClr w14:val="tx1"/>
            </w14:solidFill>
          </w14:textFill>
        </w:rPr>
        <w:t>，乙方应向甲方支付履约保证金，履约保证金为人民币</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u w:val="single"/>
          <w:lang w:val="en-US" w:eastAsia="zh-CN"/>
          <w14:textFill>
            <w14:solidFill>
              <w14:schemeClr w14:val="tx1"/>
            </w14:solidFill>
          </w14:textFill>
        </w:rPr>
        <w:t xml:space="preserve"> 30万</w:t>
      </w:r>
      <w:r>
        <w:rPr>
          <w:rFonts w:hint="eastAsia" w:ascii="仿宋_GB2312" w:hAnsi="仿宋_GB2312" w:eastAsia="仿宋_GB2312" w:cs="仿宋_GB2312"/>
          <w:color w:val="000000" w:themeColor="text1"/>
          <w:sz w:val="32"/>
          <w:szCs w:val="32"/>
          <w:highlight w:val="none"/>
          <w14:textFill>
            <w14:solidFill>
              <w14:schemeClr w14:val="tx1"/>
            </w14:solidFill>
          </w14:textFill>
        </w:rPr>
        <w:t>元（大写：</w:t>
      </w:r>
      <w:r>
        <w:rPr>
          <w:rFonts w:hint="eastAsia" w:ascii="仿宋_GB2312" w:hAnsi="仿宋_GB2312" w:eastAsia="仿宋_GB2312" w:cs="仿宋_GB2312"/>
          <w:color w:val="000000" w:themeColor="text1"/>
          <w:sz w:val="32"/>
          <w:szCs w:val="32"/>
          <w:highlight w:val="none"/>
          <w:u w:val="single"/>
          <w:lang w:val="en-US" w:eastAsia="zh-CN"/>
          <w14:textFill>
            <w14:solidFill>
              <w14:schemeClr w14:val="tx1"/>
            </w14:solidFill>
          </w14:textFill>
        </w:rPr>
        <w:t xml:space="preserve"> 叁拾 </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万元</w:t>
      </w:r>
      <w:r>
        <w:rPr>
          <w:rFonts w:hint="eastAsia" w:ascii="仿宋_GB2312" w:hAnsi="仿宋_GB2312" w:eastAsia="仿宋_GB2312" w:cs="仿宋_GB2312"/>
          <w:color w:val="000000" w:themeColor="text1"/>
          <w:sz w:val="32"/>
          <w:szCs w:val="32"/>
          <w:highlight w:val="none"/>
          <w14:textFill>
            <w14:solidFill>
              <w14:schemeClr w14:val="tx1"/>
            </w14:solidFill>
          </w14:textFill>
        </w:rPr>
        <w:t>）。</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合作</w:t>
      </w:r>
      <w:r>
        <w:rPr>
          <w:rFonts w:hint="eastAsia" w:ascii="仿宋_GB2312" w:hAnsi="仿宋_GB2312" w:eastAsia="仿宋_GB2312" w:cs="仿宋_GB2312"/>
          <w:color w:val="000000" w:themeColor="text1"/>
          <w:sz w:val="32"/>
          <w:szCs w:val="32"/>
          <w:highlight w:val="none"/>
          <w14:textFill>
            <w14:solidFill>
              <w14:schemeClr w14:val="tx1"/>
            </w14:solidFill>
          </w14:textFill>
        </w:rPr>
        <w:t>期满，乙方无违约情形的，甲方无息退还乙方物业履约保证金。如乙方存在违约情形的，甲方可将履约保证金抵扣违约金。履约保证金被抵扣违约金的，乙方应在15日内补足，不予补足的，每逾期一日乙方应向甲方支付</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履约保证金</w:t>
      </w:r>
      <w:r>
        <w:rPr>
          <w:rFonts w:hint="eastAsia" w:ascii="仿宋_GB2312" w:hAnsi="仿宋_GB2312" w:eastAsia="仿宋_GB2312" w:cs="仿宋_GB2312"/>
          <w:color w:val="000000" w:themeColor="text1"/>
          <w:sz w:val="32"/>
          <w:szCs w:val="32"/>
          <w:highlight w:val="none"/>
          <w14:textFill>
            <w14:solidFill>
              <w14:schemeClr w14:val="tx1"/>
            </w14:solidFill>
          </w14:textFill>
        </w:rPr>
        <w:t>的</w:t>
      </w:r>
      <w:r>
        <w:rPr>
          <w:rFonts w:hint="eastAsia" w:ascii="仿宋_GB2312" w:hAnsi="仿宋_GB2312" w:eastAsia="仿宋_GB2312" w:cs="仿宋_GB2312"/>
          <w:color w:val="000000" w:themeColor="text1"/>
          <w:sz w:val="32"/>
          <w:szCs w:val="32"/>
          <w:highlight w:val="none"/>
          <w:u w:val="none"/>
          <w14:textFill>
            <w14:solidFill>
              <w14:schemeClr w14:val="tx1"/>
            </w14:solidFill>
          </w14:textFill>
        </w:rPr>
        <w:t>万分之五</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作为</w:t>
      </w:r>
      <w:r>
        <w:rPr>
          <w:rFonts w:hint="eastAsia" w:ascii="仿宋_GB2312" w:hAnsi="仿宋_GB2312" w:eastAsia="仿宋_GB2312" w:cs="仿宋_GB2312"/>
          <w:color w:val="000000" w:themeColor="text1"/>
          <w:sz w:val="32"/>
          <w:szCs w:val="32"/>
          <w:highlight w:val="none"/>
          <w14:textFill>
            <w14:solidFill>
              <w14:schemeClr w14:val="tx1"/>
            </w14:solidFill>
          </w14:textFill>
        </w:rPr>
        <w:t>违约金，逾期超过30日未补足的，甲方有权解除本</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协议</w:t>
      </w:r>
      <w:r>
        <w:rPr>
          <w:rFonts w:hint="eastAsia" w:ascii="仿宋_GB2312" w:hAnsi="仿宋_GB2312" w:eastAsia="仿宋_GB2312" w:cs="仿宋_GB2312"/>
          <w:color w:val="000000" w:themeColor="text1"/>
          <w:sz w:val="32"/>
          <w:szCs w:val="32"/>
          <w:highlight w:val="none"/>
          <w14:textFill>
            <w14:solidFill>
              <w14:schemeClr w14:val="tx1"/>
            </w14:solidFill>
          </w14:textFill>
        </w:rPr>
        <w:t>，收回</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合作资产</w:t>
      </w:r>
      <w:r>
        <w:rPr>
          <w:rFonts w:hint="eastAsia" w:ascii="仿宋_GB2312" w:hAnsi="仿宋_GB2312" w:eastAsia="仿宋_GB2312" w:cs="仿宋_GB2312"/>
          <w:color w:val="000000" w:themeColor="text1"/>
          <w:sz w:val="32"/>
          <w:szCs w:val="32"/>
          <w:highlight w:val="none"/>
          <w14:textFill>
            <w14:solidFill>
              <w14:schemeClr w14:val="tx1"/>
            </w14:solidFill>
          </w14:textFill>
        </w:rPr>
        <w:t>。</w:t>
      </w:r>
    </w:p>
    <w:p w14:paraId="32A78BF6">
      <w:pPr>
        <w:spacing w:line="560" w:lineRule="exact"/>
        <w:ind w:firstLine="640" w:firstLineChars="200"/>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7</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 xml:space="preserve">.2 </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合作</w:t>
      </w:r>
      <w:r>
        <w:rPr>
          <w:rFonts w:hint="eastAsia" w:ascii="仿宋_GB2312" w:hAnsi="仿宋_GB2312" w:eastAsia="仿宋_GB2312" w:cs="仿宋_GB2312"/>
          <w:color w:val="000000" w:themeColor="text1"/>
          <w:sz w:val="32"/>
          <w:szCs w:val="32"/>
          <w:highlight w:val="none"/>
          <w14:textFill>
            <w14:solidFill>
              <w14:schemeClr w14:val="tx1"/>
            </w14:solidFill>
          </w14:textFill>
        </w:rPr>
        <w:t>期间，乙方使用</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合作资产</w:t>
      </w:r>
      <w:r>
        <w:rPr>
          <w:rFonts w:hint="eastAsia" w:ascii="仿宋_GB2312" w:hAnsi="仿宋_GB2312" w:eastAsia="仿宋_GB2312" w:cs="仿宋_GB2312"/>
          <w:color w:val="000000" w:themeColor="text1"/>
          <w:sz w:val="32"/>
          <w:szCs w:val="32"/>
          <w:highlight w:val="none"/>
          <w14:textFill>
            <w14:solidFill>
              <w14:schemeClr w14:val="tx1"/>
            </w14:solidFill>
          </w14:textFill>
        </w:rPr>
        <w:t>所发生的水、电、煤气、通讯、设备、物业管理费等相关费用均由乙方承担，如乙方拖欠相关费用导致甲方被第三方追责的，如担责方式为甲方支付相关费用的，则甲方可要求乙方支付垫付费用并</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以</w:t>
      </w:r>
      <w:r>
        <w:rPr>
          <w:rFonts w:hint="eastAsia" w:ascii="仿宋_GB2312" w:hAnsi="仿宋_GB2312" w:eastAsia="仿宋_GB2312" w:cs="仿宋_GB2312"/>
          <w:color w:val="000000" w:themeColor="text1"/>
          <w:sz w:val="32"/>
          <w:szCs w:val="32"/>
          <w:highlight w:val="none"/>
          <w14:textFill>
            <w14:solidFill>
              <w14:schemeClr w14:val="tx1"/>
            </w14:solidFill>
          </w14:textFill>
        </w:rPr>
        <w:t>甲方垫付费用</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为基数，按照垫付发生时当期LPR</w:t>
      </w:r>
      <w:r>
        <w:rPr>
          <w:rFonts w:hint="eastAsia" w:ascii="仿宋_GB2312" w:hAnsi="仿宋_GB2312" w:eastAsia="仿宋_GB2312" w:cs="仿宋_GB2312"/>
          <w:color w:val="000000" w:themeColor="text1"/>
          <w:sz w:val="32"/>
          <w:szCs w:val="32"/>
          <w:highlight w:val="none"/>
          <w14:textFill>
            <w14:solidFill>
              <w14:schemeClr w14:val="tx1"/>
            </w14:solidFill>
          </w14:textFill>
        </w:rPr>
        <w:t>的</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2</w:t>
      </w:r>
      <w:r>
        <w:rPr>
          <w:rFonts w:hint="eastAsia" w:ascii="仿宋_GB2312" w:hAnsi="仿宋_GB2312" w:eastAsia="仿宋_GB2312" w:cs="仿宋_GB2312"/>
          <w:color w:val="000000" w:themeColor="text1"/>
          <w:sz w:val="32"/>
          <w:szCs w:val="32"/>
          <w:highlight w:val="none"/>
          <w14:textFill>
            <w14:solidFill>
              <w14:schemeClr w14:val="tx1"/>
            </w14:solidFill>
          </w14:textFill>
        </w:rPr>
        <w:t>倍</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为标准，主张</w:t>
      </w:r>
      <w:r>
        <w:rPr>
          <w:rFonts w:hint="eastAsia" w:ascii="仿宋_GB2312" w:hAnsi="仿宋_GB2312" w:eastAsia="仿宋_GB2312" w:cs="仿宋_GB2312"/>
          <w:color w:val="000000" w:themeColor="text1"/>
          <w:sz w:val="32"/>
          <w:szCs w:val="32"/>
          <w:highlight w:val="none"/>
          <w14:textFill>
            <w14:solidFill>
              <w14:schemeClr w14:val="tx1"/>
            </w14:solidFill>
          </w14:textFill>
        </w:rPr>
        <w:t>违约金。</w:t>
      </w:r>
    </w:p>
    <w:p w14:paraId="0FFAA71C">
      <w:pPr>
        <w:numPr>
          <w:ilvl w:val="-1"/>
          <w:numId w:val="0"/>
        </w:numPr>
        <w:spacing w:line="560" w:lineRule="exact"/>
        <w:ind w:firstLine="643" w:firstLineChars="200"/>
        <w:rPr>
          <w:rFonts w:hint="eastAsia" w:ascii="仿宋_GB2312" w:hAnsi="仿宋_GB2312" w:eastAsia="仿宋_GB2312" w:cs="仿宋_GB2312"/>
          <w:b w:val="0"/>
          <w:bCs w:val="0"/>
          <w:color w:val="000000" w:themeColor="text1"/>
          <w:sz w:val="32"/>
          <w:szCs w:val="32"/>
          <w:highlight w:val="none"/>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14:textFill>
            <w14:solidFill>
              <w14:schemeClr w14:val="tx1"/>
            </w14:solidFill>
          </w14:textFill>
        </w:rPr>
        <w:t>第</w:t>
      </w:r>
      <w:r>
        <w:rPr>
          <w:rFonts w:hint="eastAsia" w:ascii="仿宋_GB2312" w:hAnsi="仿宋_GB2312" w:eastAsia="仿宋_GB2312" w:cs="仿宋_GB2312"/>
          <w:b/>
          <w:bCs/>
          <w:color w:val="000000" w:themeColor="text1"/>
          <w:sz w:val="32"/>
          <w:szCs w:val="32"/>
          <w:highlight w:val="none"/>
          <w:lang w:eastAsia="zh-CN"/>
          <w14:textFill>
            <w14:solidFill>
              <w14:schemeClr w14:val="tx1"/>
            </w14:solidFill>
          </w14:textFill>
        </w:rPr>
        <w:t>八</w:t>
      </w:r>
      <w:r>
        <w:rPr>
          <w:rFonts w:hint="eastAsia" w:ascii="仿宋_GB2312" w:hAnsi="仿宋_GB2312" w:eastAsia="仿宋_GB2312" w:cs="仿宋_GB2312"/>
          <w:b/>
          <w:bCs/>
          <w:color w:val="000000" w:themeColor="text1"/>
          <w:sz w:val="32"/>
          <w:szCs w:val="32"/>
          <w:highlight w:val="none"/>
          <w14:textFill>
            <w14:solidFill>
              <w14:schemeClr w14:val="tx1"/>
            </w14:solidFill>
          </w14:textFill>
        </w:rPr>
        <w:t>条</w:t>
      </w:r>
      <w:r>
        <w:rPr>
          <w:rFonts w:hint="eastAsia" w:ascii="仿宋_GB2312" w:hAnsi="仿宋_GB2312" w:eastAsia="仿宋_GB2312" w:cs="仿宋_GB2312"/>
          <w:b/>
          <w:bCs/>
          <w:color w:val="000000" w:themeColor="text1"/>
          <w:sz w:val="32"/>
          <w:szCs w:val="32"/>
          <w:highlight w:val="none"/>
          <w:lang w:val="en-US" w:eastAsia="zh-CN"/>
          <w14:textFill>
            <w14:solidFill>
              <w14:schemeClr w14:val="tx1"/>
            </w14:solidFill>
          </w14:textFill>
        </w:rPr>
        <w:t xml:space="preserve"> 建设期</w:t>
      </w:r>
    </w:p>
    <w:p w14:paraId="2E1336C5">
      <w:pPr>
        <w:numPr>
          <w:ilvl w:val="-1"/>
          <w:numId w:val="0"/>
        </w:numPr>
        <w:spacing w:line="560" w:lineRule="exact"/>
        <w:ind w:firstLine="640" w:firstLineChars="200"/>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 xml:space="preserve">8.1 </w:t>
      </w:r>
      <w:r>
        <w:rPr>
          <w:rFonts w:hint="eastAsia" w:ascii="仿宋_GB2312" w:hAnsi="仿宋_GB2312" w:eastAsia="仿宋_GB2312" w:cs="仿宋_GB2312"/>
          <w:color w:val="000000" w:themeColor="text1"/>
          <w:sz w:val="32"/>
          <w:szCs w:val="32"/>
          <w:highlight w:val="none"/>
          <w14:textFill>
            <w14:solidFill>
              <w14:schemeClr w14:val="tx1"/>
            </w14:solidFill>
          </w14:textFill>
        </w:rPr>
        <w:t>自</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本协议签订</w:t>
      </w:r>
      <w:r>
        <w:rPr>
          <w:rFonts w:hint="eastAsia" w:ascii="仿宋_GB2312" w:hAnsi="仿宋_GB2312" w:eastAsia="仿宋_GB2312" w:cs="仿宋_GB2312"/>
          <w:color w:val="000000" w:themeColor="text1"/>
          <w:sz w:val="32"/>
          <w:szCs w:val="32"/>
          <w:highlight w:val="none"/>
          <w14:textFill>
            <w14:solidFill>
              <w14:schemeClr w14:val="tx1"/>
            </w14:solidFill>
          </w14:textFill>
        </w:rPr>
        <w:t>之日起</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给予乙方6个月</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的建设期，</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建设期以甲方向乙方实际移交该资产的日期起算</w:t>
      </w:r>
      <w:r>
        <w:rPr>
          <w:rFonts w:hint="eastAsia" w:ascii="仿宋_GB2312" w:hAnsi="仿宋_GB2312" w:eastAsia="仿宋_GB2312" w:cs="仿宋_GB2312"/>
          <w:color w:val="000000" w:themeColor="text1"/>
          <w:sz w:val="32"/>
          <w:szCs w:val="32"/>
          <w:highlight w:val="none"/>
          <w14:textFill>
            <w14:solidFill>
              <w14:schemeClr w14:val="tx1"/>
            </w14:solidFill>
          </w14:textFill>
        </w:rPr>
        <w:t>。</w:t>
      </w:r>
    </w:p>
    <w:p w14:paraId="2B92A14C">
      <w:pPr>
        <w:numPr>
          <w:ilvl w:val="-1"/>
          <w:numId w:val="0"/>
        </w:numPr>
        <w:spacing w:line="560" w:lineRule="exact"/>
        <w:ind w:firstLine="640" w:firstLineChars="200"/>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8.2 建设期内免除乙方保底收益的分配义务。</w:t>
      </w:r>
    </w:p>
    <w:p w14:paraId="6C2305FA">
      <w:pPr>
        <w:numPr>
          <w:ilvl w:val="-1"/>
          <w:numId w:val="0"/>
        </w:numPr>
        <w:spacing w:line="560" w:lineRule="exact"/>
        <w:ind w:firstLine="640" w:firstLineChars="200"/>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 xml:space="preserve">8.3 </w:t>
      </w:r>
      <w:r>
        <w:rPr>
          <w:rFonts w:hint="eastAsia" w:ascii="仿宋_GB2312" w:hAnsi="仿宋_GB2312" w:eastAsia="仿宋_GB2312" w:cs="仿宋_GB2312"/>
          <w:color w:val="000000" w:themeColor="text1"/>
          <w:sz w:val="32"/>
          <w:szCs w:val="32"/>
          <w:highlight w:val="none"/>
          <w14:textFill>
            <w14:solidFill>
              <w14:schemeClr w14:val="tx1"/>
            </w14:solidFill>
          </w14:textFill>
        </w:rPr>
        <w:t>若项目因</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乙</w:t>
      </w:r>
      <w:r>
        <w:rPr>
          <w:rFonts w:hint="eastAsia" w:ascii="仿宋_GB2312" w:hAnsi="仿宋_GB2312" w:eastAsia="仿宋_GB2312" w:cs="仿宋_GB2312"/>
          <w:color w:val="000000" w:themeColor="text1"/>
          <w:sz w:val="32"/>
          <w:szCs w:val="32"/>
          <w:highlight w:val="none"/>
          <w14:textFill>
            <w14:solidFill>
              <w14:schemeClr w14:val="tx1"/>
            </w14:solidFill>
          </w14:textFill>
        </w:rPr>
        <w:t>方原因导致未能实施运营</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或运营期限不足一年，</w:t>
      </w:r>
      <w:r>
        <w:rPr>
          <w:rFonts w:hint="eastAsia" w:ascii="仿宋_GB2312" w:hAnsi="仿宋_GB2312" w:eastAsia="仿宋_GB2312" w:cs="仿宋_GB2312"/>
          <w:color w:val="000000" w:themeColor="text1"/>
          <w:sz w:val="32"/>
          <w:szCs w:val="32"/>
          <w:highlight w:val="none"/>
          <w14:textFill>
            <w14:solidFill>
              <w14:schemeClr w14:val="tx1"/>
            </w14:solidFill>
          </w14:textFill>
        </w:rPr>
        <w:t>则</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乙方须一次性向甲方补足建设期的保底收益分成，</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保底收益分成按照本协议第5.1条约定执行</w:t>
      </w:r>
      <w:r>
        <w:rPr>
          <w:rFonts w:hint="eastAsia" w:ascii="仿宋_GB2312" w:hAnsi="仿宋_GB2312" w:eastAsia="仿宋_GB2312" w:cs="仿宋_GB2312"/>
          <w:color w:val="000000" w:themeColor="text1"/>
          <w:sz w:val="32"/>
          <w:szCs w:val="32"/>
          <w:highlight w:val="none"/>
          <w14:textFill>
            <w14:solidFill>
              <w14:schemeClr w14:val="tx1"/>
            </w14:solidFill>
          </w14:textFill>
        </w:rPr>
        <w:t>。</w:t>
      </w:r>
    </w:p>
    <w:p w14:paraId="00C09EB9">
      <w:pPr>
        <w:spacing w:line="560" w:lineRule="exact"/>
        <w:ind w:firstLine="643" w:firstLineChars="200"/>
        <w:rPr>
          <w:rFonts w:hint="eastAsia" w:ascii="仿宋_GB2312" w:hAnsi="仿宋_GB2312" w:eastAsia="仿宋_GB2312" w:cs="仿宋_GB2312"/>
          <w:b/>
          <w:bCs/>
          <w:color w:val="000000" w:themeColor="text1"/>
          <w:sz w:val="32"/>
          <w:szCs w:val="32"/>
          <w:highlight w:val="none"/>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14:textFill>
            <w14:solidFill>
              <w14:schemeClr w14:val="tx1"/>
            </w14:solidFill>
          </w14:textFill>
        </w:rPr>
        <w:t>第</w:t>
      </w:r>
      <w:r>
        <w:rPr>
          <w:rFonts w:hint="eastAsia" w:ascii="仿宋_GB2312" w:hAnsi="仿宋_GB2312" w:eastAsia="仿宋_GB2312" w:cs="仿宋_GB2312"/>
          <w:b/>
          <w:bCs/>
          <w:color w:val="000000" w:themeColor="text1"/>
          <w:sz w:val="32"/>
          <w:szCs w:val="32"/>
          <w:highlight w:val="none"/>
          <w:lang w:val="en-US" w:eastAsia="zh-CN"/>
          <w14:textFill>
            <w14:solidFill>
              <w14:schemeClr w14:val="tx1"/>
            </w14:solidFill>
          </w14:textFill>
        </w:rPr>
        <w:t>九</w:t>
      </w:r>
      <w:r>
        <w:rPr>
          <w:rFonts w:hint="eastAsia" w:ascii="仿宋_GB2312" w:hAnsi="仿宋_GB2312" w:eastAsia="仿宋_GB2312" w:cs="仿宋_GB2312"/>
          <w:b/>
          <w:bCs/>
          <w:color w:val="000000" w:themeColor="text1"/>
          <w:sz w:val="32"/>
          <w:szCs w:val="32"/>
          <w:highlight w:val="none"/>
          <w14:textFill>
            <w14:solidFill>
              <w14:schemeClr w14:val="tx1"/>
            </w14:solidFill>
          </w14:textFill>
        </w:rPr>
        <w:t xml:space="preserve">条 </w:t>
      </w:r>
      <w:r>
        <w:rPr>
          <w:rFonts w:hint="eastAsia" w:ascii="仿宋_GB2312" w:hAnsi="仿宋_GB2312" w:eastAsia="仿宋_GB2312" w:cs="仿宋_GB2312"/>
          <w:b/>
          <w:bCs/>
          <w:color w:val="000000" w:themeColor="text1"/>
          <w:sz w:val="32"/>
          <w:szCs w:val="32"/>
          <w:highlight w:val="none"/>
          <w:lang w:eastAsia="zh-CN"/>
          <w14:textFill>
            <w14:solidFill>
              <w14:schemeClr w14:val="tx1"/>
            </w14:solidFill>
          </w14:textFill>
        </w:rPr>
        <w:t>资产</w:t>
      </w:r>
      <w:r>
        <w:rPr>
          <w:rFonts w:hint="eastAsia" w:ascii="仿宋_GB2312" w:hAnsi="仿宋_GB2312" w:eastAsia="仿宋_GB2312" w:cs="仿宋_GB2312"/>
          <w:b/>
          <w:bCs/>
          <w:color w:val="000000" w:themeColor="text1"/>
          <w:sz w:val="32"/>
          <w:szCs w:val="32"/>
          <w:highlight w:val="none"/>
          <w14:textFill>
            <w14:solidFill>
              <w14:schemeClr w14:val="tx1"/>
            </w14:solidFill>
          </w14:textFill>
        </w:rPr>
        <w:t>交付</w:t>
      </w:r>
    </w:p>
    <w:p w14:paraId="172AF4E6">
      <w:pPr>
        <w:pStyle w:val="4"/>
        <w:spacing w:line="560" w:lineRule="exact"/>
        <w:ind w:firstLine="640" w:firstLineChars="200"/>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9.1 甲方交付的资产应具备以下条件：</w:t>
      </w:r>
    </w:p>
    <w:p w14:paraId="54C62B12">
      <w:pPr>
        <w:pStyle w:val="4"/>
        <w:spacing w:line="560" w:lineRule="exact"/>
        <w:ind w:firstLine="640" w:firstLineChars="200"/>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9.1.1 权属清晰，无抵押、查封等限制措施；</w:t>
      </w:r>
    </w:p>
    <w:p w14:paraId="6F1D4C98">
      <w:pPr>
        <w:pStyle w:val="4"/>
        <w:spacing w:line="560" w:lineRule="exact"/>
        <w:ind w:firstLine="640" w:firstLineChars="200"/>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9.1.2 甲方合作的资产已全部收回并腾空，资产建筑物、构筑物无人占用，但乙方允许的除外。</w:t>
      </w:r>
    </w:p>
    <w:p w14:paraId="5E072C71">
      <w:pPr>
        <w:spacing w:line="560" w:lineRule="exact"/>
        <w:ind w:firstLine="640" w:firstLineChars="200"/>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 xml:space="preserve">9.1.3 </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资产</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使用</w:t>
      </w:r>
      <w:r>
        <w:rPr>
          <w:rFonts w:hint="eastAsia" w:ascii="仿宋_GB2312" w:hAnsi="仿宋_GB2312" w:eastAsia="仿宋_GB2312" w:cs="仿宋_GB2312"/>
          <w:color w:val="000000" w:themeColor="text1"/>
          <w:sz w:val="32"/>
          <w:szCs w:val="32"/>
          <w:highlight w:val="none"/>
          <w14:textFill>
            <w14:solidFill>
              <w14:schemeClr w14:val="tx1"/>
            </w14:solidFill>
          </w14:textFill>
        </w:rPr>
        <w:t>的具体交付时间以甲方书面通知为准，乙方应按照甲方通知的交付日</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按照交付条件</w:t>
      </w:r>
      <w:r>
        <w:rPr>
          <w:rFonts w:hint="eastAsia" w:ascii="仿宋_GB2312" w:hAnsi="仿宋_GB2312" w:eastAsia="仿宋_GB2312" w:cs="仿宋_GB2312"/>
          <w:color w:val="000000" w:themeColor="text1"/>
          <w:sz w:val="32"/>
          <w:szCs w:val="32"/>
          <w:highlight w:val="none"/>
          <w14:textFill>
            <w14:solidFill>
              <w14:schemeClr w14:val="tx1"/>
            </w14:solidFill>
          </w14:textFill>
        </w:rPr>
        <w:t>进行验收</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符合交付条件应</w:t>
      </w:r>
      <w:r>
        <w:rPr>
          <w:rFonts w:hint="eastAsia" w:ascii="仿宋_GB2312" w:hAnsi="仿宋_GB2312" w:eastAsia="仿宋_GB2312" w:cs="仿宋_GB2312"/>
          <w:color w:val="000000" w:themeColor="text1"/>
          <w:sz w:val="32"/>
          <w:szCs w:val="32"/>
          <w:highlight w:val="none"/>
          <w14:textFill>
            <w14:solidFill>
              <w14:schemeClr w14:val="tx1"/>
            </w14:solidFill>
          </w14:textFill>
        </w:rPr>
        <w:t>签订</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书面移交单</w:t>
      </w:r>
      <w:r>
        <w:rPr>
          <w:rFonts w:hint="eastAsia" w:ascii="仿宋_GB2312" w:hAnsi="仿宋_GB2312" w:eastAsia="仿宋_GB2312" w:cs="仿宋_GB2312"/>
          <w:color w:val="000000" w:themeColor="text1"/>
          <w:sz w:val="32"/>
          <w:szCs w:val="32"/>
          <w:highlight w:val="none"/>
          <w14:textFill>
            <w14:solidFill>
              <w14:schemeClr w14:val="tx1"/>
            </w14:solidFill>
          </w14:textFill>
        </w:rPr>
        <w:t>。</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如符合交付条件，</w:t>
      </w:r>
      <w:r>
        <w:rPr>
          <w:rFonts w:hint="eastAsia" w:ascii="仿宋_GB2312" w:hAnsi="仿宋_GB2312" w:eastAsia="仿宋_GB2312" w:cs="仿宋_GB2312"/>
          <w:color w:val="000000" w:themeColor="text1"/>
          <w:sz w:val="32"/>
          <w:szCs w:val="32"/>
          <w:highlight w:val="none"/>
          <w14:textFill>
            <w14:solidFill>
              <w14:schemeClr w14:val="tx1"/>
            </w14:solidFill>
          </w14:textFill>
        </w:rPr>
        <w:t>乙方</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未</w:t>
      </w:r>
      <w:r>
        <w:rPr>
          <w:rFonts w:hint="eastAsia" w:ascii="仿宋_GB2312" w:hAnsi="仿宋_GB2312" w:eastAsia="仿宋_GB2312" w:cs="仿宋_GB2312"/>
          <w:color w:val="000000" w:themeColor="text1"/>
          <w:sz w:val="32"/>
          <w:szCs w:val="32"/>
          <w:highlight w:val="none"/>
          <w14:textFill>
            <w14:solidFill>
              <w14:schemeClr w14:val="tx1"/>
            </w14:solidFill>
          </w14:textFill>
        </w:rPr>
        <w:t>在甲方通知的交付日起的【</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10</w:t>
      </w:r>
      <w:r>
        <w:rPr>
          <w:rFonts w:hint="eastAsia" w:ascii="仿宋_GB2312" w:hAnsi="仿宋_GB2312" w:eastAsia="仿宋_GB2312" w:cs="仿宋_GB2312"/>
          <w:color w:val="000000" w:themeColor="text1"/>
          <w:sz w:val="32"/>
          <w:szCs w:val="32"/>
          <w:highlight w:val="none"/>
          <w14:textFill>
            <w14:solidFill>
              <w14:schemeClr w14:val="tx1"/>
            </w14:solidFill>
          </w14:textFill>
        </w:rPr>
        <w:t>】日内验收完毕并与甲方签订</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移交单</w:t>
      </w:r>
      <w:r>
        <w:rPr>
          <w:rFonts w:hint="eastAsia" w:ascii="仿宋_GB2312" w:hAnsi="仿宋_GB2312" w:eastAsia="仿宋_GB2312" w:cs="仿宋_GB2312"/>
          <w:color w:val="000000" w:themeColor="text1"/>
          <w:sz w:val="32"/>
          <w:szCs w:val="32"/>
          <w:highlight w:val="none"/>
          <w14:textFill>
            <w14:solidFill>
              <w14:schemeClr w14:val="tx1"/>
            </w14:solidFill>
          </w14:textFill>
        </w:rPr>
        <w:t>，视为甲方已完成了</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合作</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资产</w:t>
      </w:r>
      <w:r>
        <w:rPr>
          <w:rFonts w:hint="eastAsia" w:ascii="仿宋_GB2312" w:hAnsi="仿宋_GB2312" w:eastAsia="仿宋_GB2312" w:cs="仿宋_GB2312"/>
          <w:color w:val="000000" w:themeColor="text1"/>
          <w:sz w:val="32"/>
          <w:szCs w:val="32"/>
          <w:highlight w:val="none"/>
          <w14:textFill>
            <w14:solidFill>
              <w14:schemeClr w14:val="tx1"/>
            </w14:solidFill>
          </w14:textFill>
        </w:rPr>
        <w:t>的交付，甲方通知的交付日视为实际交付日，甲方有权要求乙方按照</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协议</w:t>
      </w:r>
      <w:r>
        <w:rPr>
          <w:rFonts w:hint="eastAsia" w:ascii="仿宋_GB2312" w:hAnsi="仿宋_GB2312" w:eastAsia="仿宋_GB2312" w:cs="仿宋_GB2312"/>
          <w:color w:val="000000" w:themeColor="text1"/>
          <w:sz w:val="32"/>
          <w:szCs w:val="32"/>
          <w:highlight w:val="none"/>
          <w14:textFill>
            <w14:solidFill>
              <w14:schemeClr w14:val="tx1"/>
            </w14:solidFill>
          </w14:textFill>
        </w:rPr>
        <w:t>约定支付应当支付的费用。</w:t>
      </w:r>
    </w:p>
    <w:p w14:paraId="28415AAD">
      <w:pPr>
        <w:spacing w:line="560" w:lineRule="exact"/>
        <w:ind w:firstLine="643" w:firstLineChars="200"/>
        <w:rPr>
          <w:rFonts w:hint="eastAsia" w:ascii="仿宋_GB2312" w:hAnsi="仿宋_GB2312" w:eastAsia="仿宋_GB2312" w:cs="仿宋_GB2312"/>
          <w:b/>
          <w:bCs/>
          <w:color w:val="000000" w:themeColor="text1"/>
          <w:sz w:val="32"/>
          <w:szCs w:val="32"/>
          <w:highlight w:val="none"/>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14:textFill>
            <w14:solidFill>
              <w14:schemeClr w14:val="tx1"/>
            </w14:solidFill>
          </w14:textFill>
        </w:rPr>
        <w:t>第</w:t>
      </w:r>
      <w:r>
        <w:rPr>
          <w:rFonts w:hint="eastAsia" w:ascii="仿宋_GB2312" w:hAnsi="仿宋_GB2312" w:eastAsia="仿宋_GB2312" w:cs="仿宋_GB2312"/>
          <w:b/>
          <w:bCs/>
          <w:color w:val="000000" w:themeColor="text1"/>
          <w:sz w:val="32"/>
          <w:szCs w:val="32"/>
          <w:highlight w:val="none"/>
          <w:lang w:val="en-US" w:eastAsia="zh-CN"/>
          <w14:textFill>
            <w14:solidFill>
              <w14:schemeClr w14:val="tx1"/>
            </w14:solidFill>
          </w14:textFill>
        </w:rPr>
        <w:t>十</w:t>
      </w:r>
      <w:r>
        <w:rPr>
          <w:rFonts w:hint="eastAsia" w:ascii="仿宋_GB2312" w:hAnsi="仿宋_GB2312" w:eastAsia="仿宋_GB2312" w:cs="仿宋_GB2312"/>
          <w:b/>
          <w:bCs/>
          <w:color w:val="000000" w:themeColor="text1"/>
          <w:sz w:val="32"/>
          <w:szCs w:val="32"/>
          <w:highlight w:val="none"/>
          <w14:textFill>
            <w14:solidFill>
              <w14:schemeClr w14:val="tx1"/>
            </w14:solidFill>
          </w14:textFill>
        </w:rPr>
        <w:t>条 甲方权利与义务</w:t>
      </w:r>
    </w:p>
    <w:p w14:paraId="6BE9A4A5">
      <w:pPr>
        <w:numPr>
          <w:ilvl w:val="-1"/>
          <w:numId w:val="0"/>
        </w:numPr>
        <w:spacing w:line="560" w:lineRule="exact"/>
        <w:ind w:firstLine="640" w:firstLineChars="200"/>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 xml:space="preserve">10.1 </w:t>
      </w:r>
      <w:r>
        <w:rPr>
          <w:rFonts w:hint="eastAsia" w:ascii="仿宋_GB2312" w:hAnsi="仿宋_GB2312" w:eastAsia="仿宋_GB2312" w:cs="仿宋_GB2312"/>
          <w:color w:val="000000" w:themeColor="text1"/>
          <w:sz w:val="32"/>
          <w:szCs w:val="32"/>
          <w:highlight w:val="none"/>
          <w14:textFill>
            <w14:solidFill>
              <w14:schemeClr w14:val="tx1"/>
            </w14:solidFill>
          </w14:textFill>
        </w:rPr>
        <w:t>甲方有权对本项目的</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合法合规</w:t>
      </w:r>
      <w:r>
        <w:rPr>
          <w:rFonts w:hint="eastAsia" w:ascii="仿宋_GB2312" w:hAnsi="仿宋_GB2312" w:eastAsia="仿宋_GB2312" w:cs="仿宋_GB2312"/>
          <w:color w:val="000000" w:themeColor="text1"/>
          <w:sz w:val="32"/>
          <w:szCs w:val="32"/>
          <w:highlight w:val="none"/>
          <w14:textFill>
            <w14:solidFill>
              <w14:schemeClr w14:val="tx1"/>
            </w14:solidFill>
          </w14:textFill>
        </w:rPr>
        <w:t>建设和经营实施全程监督；</w:t>
      </w:r>
    </w:p>
    <w:p w14:paraId="60FC26DD">
      <w:pPr>
        <w:numPr>
          <w:ilvl w:val="-1"/>
          <w:numId w:val="0"/>
        </w:numPr>
        <w:spacing w:line="560" w:lineRule="exact"/>
        <w:ind w:firstLine="640" w:firstLineChars="200"/>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 xml:space="preserve">10.2 </w:t>
      </w:r>
      <w:r>
        <w:rPr>
          <w:rFonts w:hint="eastAsia" w:ascii="仿宋_GB2312" w:hAnsi="仿宋_GB2312" w:eastAsia="仿宋_GB2312" w:cs="仿宋_GB2312"/>
          <w:color w:val="000000" w:themeColor="text1"/>
          <w:sz w:val="32"/>
          <w:szCs w:val="32"/>
          <w:highlight w:val="none"/>
          <w14:textFill>
            <w14:solidFill>
              <w14:schemeClr w14:val="tx1"/>
            </w14:solidFill>
          </w14:textFill>
        </w:rPr>
        <w:t>甲方有权要求乙方全面落实本本</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协议</w:t>
      </w:r>
      <w:r>
        <w:rPr>
          <w:rFonts w:hint="eastAsia" w:ascii="仿宋_GB2312" w:hAnsi="仿宋_GB2312" w:eastAsia="仿宋_GB2312" w:cs="仿宋_GB2312"/>
          <w:color w:val="000000" w:themeColor="text1"/>
          <w:sz w:val="32"/>
          <w:szCs w:val="32"/>
          <w:highlight w:val="none"/>
          <w14:textFill>
            <w14:solidFill>
              <w14:schemeClr w14:val="tx1"/>
            </w14:solidFill>
          </w14:textFill>
        </w:rPr>
        <w:t>约定的各项责任和义务；</w:t>
      </w:r>
    </w:p>
    <w:p w14:paraId="29468AB5">
      <w:pPr>
        <w:numPr>
          <w:ilvl w:val="-1"/>
          <w:numId w:val="0"/>
        </w:numPr>
        <w:spacing w:line="560" w:lineRule="exact"/>
        <w:ind w:firstLine="640" w:firstLineChars="200"/>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 xml:space="preserve">10.3 </w:t>
      </w:r>
      <w:r>
        <w:rPr>
          <w:rFonts w:hint="eastAsia" w:ascii="仿宋_GB2312" w:hAnsi="仿宋_GB2312" w:eastAsia="仿宋_GB2312" w:cs="仿宋_GB2312"/>
          <w:color w:val="000000" w:themeColor="text1"/>
          <w:sz w:val="32"/>
          <w:szCs w:val="32"/>
          <w:highlight w:val="none"/>
          <w14:textFill>
            <w14:solidFill>
              <w14:schemeClr w14:val="tx1"/>
            </w14:solidFill>
          </w14:textFill>
        </w:rPr>
        <w:t>甲方有权对乙方的营业</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收入情况</w:t>
      </w:r>
      <w:r>
        <w:rPr>
          <w:rFonts w:hint="eastAsia" w:ascii="仿宋_GB2312" w:hAnsi="仿宋_GB2312" w:eastAsia="仿宋_GB2312" w:cs="仿宋_GB2312"/>
          <w:color w:val="000000" w:themeColor="text1"/>
          <w:sz w:val="32"/>
          <w:szCs w:val="32"/>
          <w:highlight w:val="none"/>
          <w14:textFill>
            <w14:solidFill>
              <w14:schemeClr w14:val="tx1"/>
            </w14:solidFill>
          </w14:textFill>
        </w:rPr>
        <w:t>进行监督和核查，乙方须予配合</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p>
    <w:p w14:paraId="0B07506F">
      <w:pPr>
        <w:numPr>
          <w:ilvl w:val="-1"/>
          <w:numId w:val="0"/>
        </w:numPr>
        <w:spacing w:line="560" w:lineRule="exact"/>
        <w:ind w:firstLine="640" w:firstLineChars="200"/>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10.4 乙方在办理本项目建设和经营手续中，如需应由甲方提供的有关证明材料</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甲方应予协助；</w:t>
      </w:r>
    </w:p>
    <w:p w14:paraId="78BAB1B0">
      <w:pPr>
        <w:numPr>
          <w:ilvl w:val="-1"/>
          <w:numId w:val="0"/>
        </w:numPr>
        <w:spacing w:line="560" w:lineRule="exact"/>
        <w:ind w:firstLine="640" w:firstLineChars="200"/>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10.5 甲方应保证交付给乙方使用的资产没有任何权属纠纷，若因此给乙方造成损失的，甲方承担赔偿责任；</w:t>
      </w:r>
    </w:p>
    <w:p w14:paraId="015720D4">
      <w:pPr>
        <w:numPr>
          <w:ilvl w:val="-1"/>
          <w:numId w:val="0"/>
        </w:numPr>
        <w:spacing w:line="560" w:lineRule="exact"/>
        <w:ind w:firstLine="640" w:firstLineChars="200"/>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10.6 如非甲乙双方原因导致</w:t>
      </w:r>
      <w:r>
        <w:rPr>
          <w:rFonts w:hint="eastAsia" w:ascii="仿宋_GB2312" w:hAnsi="仿宋_GB2312" w:eastAsia="仿宋_GB2312" w:cs="仿宋_GB2312"/>
          <w:color w:val="000000" w:themeColor="text1"/>
          <w:sz w:val="32"/>
          <w:szCs w:val="32"/>
          <w:highlight w:val="none"/>
          <w14:textFill>
            <w14:solidFill>
              <w14:schemeClr w14:val="tx1"/>
            </w14:solidFill>
          </w14:textFill>
        </w:rPr>
        <w:t>本</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协议提前中止或解除时</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资产内修建的</w:t>
      </w:r>
      <w:r>
        <w:rPr>
          <w:rFonts w:hint="eastAsia" w:ascii="仿宋_GB2312" w:hAnsi="仿宋_GB2312" w:eastAsia="仿宋_GB2312" w:cs="仿宋_GB2312"/>
          <w:color w:val="000000" w:themeColor="text1"/>
          <w:sz w:val="32"/>
          <w:szCs w:val="32"/>
          <w:highlight w:val="none"/>
          <w14:textFill>
            <w14:solidFill>
              <w14:schemeClr w14:val="tx1"/>
            </w14:solidFill>
          </w14:textFill>
        </w:rPr>
        <w:t>构筑物及其他附属设施</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需进行拆除、搬离或移交的</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由此产生的一切费用，如清理费</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搬离费等由甲乙双方按照本协议约定的归属权比率计算方式承担。</w:t>
      </w:r>
    </w:p>
    <w:p w14:paraId="10E41EFC">
      <w:pPr>
        <w:spacing w:line="560" w:lineRule="exact"/>
        <w:ind w:firstLine="643" w:firstLineChars="200"/>
        <w:rPr>
          <w:rFonts w:hint="eastAsia" w:ascii="仿宋_GB2312" w:hAnsi="仿宋_GB2312" w:eastAsia="仿宋_GB2312" w:cs="仿宋_GB2312"/>
          <w:b/>
          <w:bCs/>
          <w:color w:val="000000" w:themeColor="text1"/>
          <w:sz w:val="32"/>
          <w:szCs w:val="32"/>
          <w:highlight w:val="none"/>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14:textFill>
            <w14:solidFill>
              <w14:schemeClr w14:val="tx1"/>
            </w14:solidFill>
          </w14:textFill>
        </w:rPr>
        <w:t>第</w:t>
      </w:r>
      <w:r>
        <w:rPr>
          <w:rFonts w:hint="eastAsia" w:ascii="仿宋_GB2312" w:hAnsi="仿宋_GB2312" w:eastAsia="仿宋_GB2312" w:cs="仿宋_GB2312"/>
          <w:b/>
          <w:bCs/>
          <w:color w:val="000000" w:themeColor="text1"/>
          <w:sz w:val="32"/>
          <w:szCs w:val="32"/>
          <w:highlight w:val="none"/>
          <w:lang w:val="en-US" w:eastAsia="zh-CN"/>
          <w14:textFill>
            <w14:solidFill>
              <w14:schemeClr w14:val="tx1"/>
            </w14:solidFill>
          </w14:textFill>
        </w:rPr>
        <w:t>十一</w:t>
      </w:r>
      <w:r>
        <w:rPr>
          <w:rFonts w:hint="eastAsia" w:ascii="仿宋_GB2312" w:hAnsi="仿宋_GB2312" w:eastAsia="仿宋_GB2312" w:cs="仿宋_GB2312"/>
          <w:b/>
          <w:bCs/>
          <w:color w:val="000000" w:themeColor="text1"/>
          <w:sz w:val="32"/>
          <w:szCs w:val="32"/>
          <w:highlight w:val="none"/>
          <w14:textFill>
            <w14:solidFill>
              <w14:schemeClr w14:val="tx1"/>
            </w14:solidFill>
          </w14:textFill>
        </w:rPr>
        <w:t>条 乙方权利与义务</w:t>
      </w:r>
    </w:p>
    <w:p w14:paraId="1009E7BD">
      <w:pPr>
        <w:numPr>
          <w:ilvl w:val="-1"/>
          <w:numId w:val="0"/>
        </w:numPr>
        <w:spacing w:line="560" w:lineRule="exact"/>
        <w:ind w:firstLine="640" w:firstLineChars="200"/>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 xml:space="preserve">11.1 </w:t>
      </w:r>
      <w:r>
        <w:rPr>
          <w:rFonts w:hint="eastAsia" w:ascii="仿宋_GB2312" w:hAnsi="仿宋_GB2312" w:eastAsia="仿宋_GB2312" w:cs="仿宋_GB2312"/>
          <w:color w:val="000000" w:themeColor="text1"/>
          <w:sz w:val="32"/>
          <w:szCs w:val="32"/>
          <w:highlight w:val="none"/>
          <w14:textFill>
            <w14:solidFill>
              <w14:schemeClr w14:val="tx1"/>
            </w14:solidFill>
          </w14:textFill>
        </w:rPr>
        <w:t>乙方有权在</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按本协议</w:t>
      </w:r>
      <w:r>
        <w:rPr>
          <w:rFonts w:hint="eastAsia" w:ascii="仿宋_GB2312" w:hAnsi="仿宋_GB2312" w:eastAsia="仿宋_GB2312" w:cs="仿宋_GB2312"/>
          <w:color w:val="000000" w:themeColor="text1"/>
          <w:sz w:val="32"/>
          <w:szCs w:val="32"/>
          <w:highlight w:val="none"/>
          <w14:textFill>
            <w14:solidFill>
              <w14:schemeClr w14:val="tx1"/>
            </w14:solidFill>
          </w14:textFill>
        </w:rPr>
        <w:t>约定和法律规定的前提下</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自主经营，</w:t>
      </w:r>
      <w:r>
        <w:rPr>
          <w:rFonts w:hint="eastAsia" w:ascii="仿宋_GB2312" w:hAnsi="仿宋_GB2312" w:eastAsia="仿宋_GB2312" w:cs="仿宋_GB2312"/>
          <w:color w:val="000000" w:themeColor="text1"/>
          <w:sz w:val="32"/>
          <w:szCs w:val="32"/>
          <w:highlight w:val="none"/>
          <w14:textFill>
            <w14:solidFill>
              <w14:schemeClr w14:val="tx1"/>
            </w14:solidFill>
          </w14:textFill>
        </w:rPr>
        <w:t>不受任何第三人干涉使用</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资产</w:t>
      </w:r>
      <w:r>
        <w:rPr>
          <w:rFonts w:hint="eastAsia" w:ascii="仿宋_GB2312" w:hAnsi="仿宋_GB2312" w:eastAsia="仿宋_GB2312" w:cs="仿宋_GB2312"/>
          <w:color w:val="000000" w:themeColor="text1"/>
          <w:sz w:val="32"/>
          <w:szCs w:val="32"/>
          <w:highlight w:val="none"/>
          <w14:textFill>
            <w14:solidFill>
              <w14:schemeClr w14:val="tx1"/>
            </w14:solidFill>
          </w14:textFill>
        </w:rPr>
        <w:t>；</w:t>
      </w:r>
    </w:p>
    <w:p w14:paraId="298604FC">
      <w:pPr>
        <w:numPr>
          <w:ilvl w:val="-1"/>
          <w:numId w:val="0"/>
        </w:numPr>
        <w:spacing w:line="560" w:lineRule="exact"/>
        <w:ind w:firstLine="640" w:firstLineChars="200"/>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 xml:space="preserve">11.2 </w:t>
      </w:r>
      <w:r>
        <w:rPr>
          <w:rFonts w:hint="eastAsia" w:ascii="仿宋_GB2312" w:hAnsi="仿宋_GB2312" w:eastAsia="仿宋_GB2312" w:cs="仿宋_GB2312"/>
          <w:color w:val="000000" w:themeColor="text1"/>
          <w:sz w:val="32"/>
          <w:szCs w:val="32"/>
          <w:highlight w:val="none"/>
          <w14:textFill>
            <w14:solidFill>
              <w14:schemeClr w14:val="tx1"/>
            </w14:solidFill>
          </w14:textFill>
        </w:rPr>
        <w:t>乙方应按照</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协议</w:t>
      </w:r>
      <w:r>
        <w:rPr>
          <w:rFonts w:hint="eastAsia" w:ascii="仿宋_GB2312" w:hAnsi="仿宋_GB2312" w:eastAsia="仿宋_GB2312" w:cs="仿宋_GB2312"/>
          <w:color w:val="000000" w:themeColor="text1"/>
          <w:sz w:val="32"/>
          <w:szCs w:val="32"/>
          <w:highlight w:val="none"/>
          <w14:textFill>
            <w14:solidFill>
              <w14:schemeClr w14:val="tx1"/>
            </w14:solidFill>
          </w14:textFill>
        </w:rPr>
        <w:t>约定，</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按照二者取其高的原则</w:t>
      </w:r>
      <w:r>
        <w:rPr>
          <w:rFonts w:hint="eastAsia" w:ascii="仿宋_GB2312" w:hAnsi="仿宋_GB2312" w:eastAsia="仿宋_GB2312" w:cs="仿宋_GB2312"/>
          <w:color w:val="000000" w:themeColor="text1"/>
          <w:sz w:val="32"/>
          <w:szCs w:val="32"/>
          <w:highlight w:val="none"/>
          <w14:textFill>
            <w14:solidFill>
              <w14:schemeClr w14:val="tx1"/>
            </w14:solidFill>
          </w14:textFill>
        </w:rPr>
        <w:t>按期足额</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的</w:t>
      </w:r>
      <w:r>
        <w:rPr>
          <w:rFonts w:hint="eastAsia" w:ascii="仿宋_GB2312" w:hAnsi="仿宋_GB2312" w:eastAsia="仿宋_GB2312" w:cs="仿宋_GB2312"/>
          <w:color w:val="000000" w:themeColor="text1"/>
          <w:sz w:val="32"/>
          <w:szCs w:val="32"/>
          <w:highlight w:val="none"/>
          <w14:textFill>
            <w14:solidFill>
              <w14:schemeClr w14:val="tx1"/>
            </w14:solidFill>
          </w14:textFill>
        </w:rPr>
        <w:t>向甲方支付保底</w:t>
      </w:r>
      <w:r>
        <w:rPr>
          <w:rFonts w:hint="eastAsia" w:ascii="仿宋_GB2312" w:hAnsi="仿宋_GB2312" w:eastAsia="仿宋_GB2312" w:cs="仿宋_GB2312"/>
          <w:color w:val="auto"/>
          <w:sz w:val="32"/>
          <w:szCs w:val="32"/>
          <w:highlight w:val="none"/>
          <w:lang w:val="en-US" w:eastAsia="zh-CN"/>
        </w:rPr>
        <w:t>收益</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或</w:t>
      </w:r>
      <w:r>
        <w:rPr>
          <w:rFonts w:hint="eastAsia" w:ascii="仿宋_GB2312" w:hAnsi="仿宋_GB2312" w:eastAsia="仿宋_GB2312" w:cs="仿宋_GB2312"/>
          <w:color w:val="000000" w:themeColor="text1"/>
          <w:sz w:val="32"/>
          <w:szCs w:val="32"/>
          <w:highlight w:val="none"/>
          <w14:textFill>
            <w14:solidFill>
              <w14:schemeClr w14:val="tx1"/>
            </w14:solidFill>
          </w14:textFill>
        </w:rPr>
        <w:t>营业</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收入16%</w:t>
      </w:r>
      <w:r>
        <w:rPr>
          <w:rFonts w:hint="eastAsia" w:ascii="仿宋_GB2312" w:hAnsi="仿宋_GB2312" w:eastAsia="仿宋_GB2312" w:cs="仿宋_GB2312"/>
          <w:color w:val="000000" w:themeColor="text1"/>
          <w:sz w:val="32"/>
          <w:szCs w:val="32"/>
          <w:highlight w:val="none"/>
          <w14:textFill>
            <w14:solidFill>
              <w14:schemeClr w14:val="tx1"/>
            </w14:solidFill>
          </w14:textFill>
        </w:rPr>
        <w:t>分成；</w:t>
      </w:r>
    </w:p>
    <w:p w14:paraId="22C0DFB6">
      <w:pPr>
        <w:numPr>
          <w:ilvl w:val="-1"/>
          <w:numId w:val="0"/>
        </w:numPr>
        <w:spacing w:line="560" w:lineRule="exact"/>
        <w:ind w:firstLine="640" w:firstLineChars="200"/>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 xml:space="preserve">11.3 </w:t>
      </w:r>
      <w:r>
        <w:rPr>
          <w:rFonts w:hint="eastAsia" w:ascii="仿宋_GB2312" w:hAnsi="仿宋_GB2312" w:eastAsia="仿宋_GB2312" w:cs="仿宋_GB2312"/>
          <w:color w:val="000000" w:themeColor="text1"/>
          <w:sz w:val="32"/>
          <w:szCs w:val="32"/>
          <w:highlight w:val="none"/>
          <w14:textFill>
            <w14:solidFill>
              <w14:schemeClr w14:val="tx1"/>
            </w14:solidFill>
          </w14:textFill>
        </w:rPr>
        <w:t>乙方按照</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协议</w:t>
      </w:r>
      <w:r>
        <w:rPr>
          <w:rFonts w:hint="eastAsia" w:ascii="仿宋_GB2312" w:hAnsi="仿宋_GB2312" w:eastAsia="仿宋_GB2312" w:cs="仿宋_GB2312"/>
          <w:color w:val="000000" w:themeColor="text1"/>
          <w:sz w:val="32"/>
          <w:szCs w:val="32"/>
          <w:highlight w:val="none"/>
          <w14:textFill>
            <w14:solidFill>
              <w14:schemeClr w14:val="tx1"/>
            </w14:solidFill>
          </w14:textFill>
        </w:rPr>
        <w:t>约定的用途使用</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资产</w:t>
      </w:r>
      <w:r>
        <w:rPr>
          <w:rFonts w:hint="eastAsia" w:ascii="仿宋_GB2312" w:hAnsi="仿宋_GB2312" w:eastAsia="仿宋_GB2312" w:cs="仿宋_GB2312"/>
          <w:color w:val="000000" w:themeColor="text1"/>
          <w:sz w:val="32"/>
          <w:szCs w:val="32"/>
          <w:highlight w:val="none"/>
          <w14:textFill>
            <w14:solidFill>
              <w14:schemeClr w14:val="tx1"/>
            </w14:solidFill>
          </w14:textFill>
        </w:rPr>
        <w:t>，不得用作它途或进行违法、非法经营行为；</w:t>
      </w:r>
    </w:p>
    <w:p w14:paraId="5AF36E11">
      <w:pPr>
        <w:numPr>
          <w:ilvl w:val="-1"/>
          <w:numId w:val="0"/>
        </w:numPr>
        <w:spacing w:line="560" w:lineRule="exact"/>
        <w:ind w:firstLine="640" w:firstLineChars="200"/>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 xml:space="preserve">11.4 </w:t>
      </w:r>
      <w:r>
        <w:rPr>
          <w:rFonts w:hint="eastAsia" w:ascii="仿宋_GB2312" w:hAnsi="仿宋_GB2312" w:eastAsia="仿宋_GB2312" w:cs="仿宋_GB2312"/>
          <w:color w:val="000000" w:themeColor="text1"/>
          <w:sz w:val="32"/>
          <w:szCs w:val="32"/>
          <w:highlight w:val="none"/>
          <w14:textFill>
            <w14:solidFill>
              <w14:schemeClr w14:val="tx1"/>
            </w14:solidFill>
          </w14:textFill>
        </w:rPr>
        <w:t>乙方负责筹集项目建设所需资金，并负责项目的建设、</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招商、运</w:t>
      </w:r>
      <w:r>
        <w:rPr>
          <w:rFonts w:hint="eastAsia" w:ascii="仿宋_GB2312" w:hAnsi="仿宋_GB2312" w:eastAsia="仿宋_GB2312" w:cs="仿宋_GB2312"/>
          <w:color w:val="000000" w:themeColor="text1"/>
          <w:sz w:val="32"/>
          <w:szCs w:val="32"/>
          <w:highlight w:val="none"/>
          <w14:textFill>
            <w14:solidFill>
              <w14:schemeClr w14:val="tx1"/>
            </w14:solidFill>
          </w14:textFill>
        </w:rPr>
        <w:t>营与管理；</w:t>
      </w:r>
    </w:p>
    <w:p w14:paraId="58A13D46">
      <w:pPr>
        <w:numPr>
          <w:ilvl w:val="-1"/>
          <w:numId w:val="0"/>
        </w:numPr>
        <w:spacing w:line="560" w:lineRule="exact"/>
        <w:ind w:firstLine="640" w:firstLineChars="200"/>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 xml:space="preserve">11.5 </w:t>
      </w:r>
      <w:r>
        <w:rPr>
          <w:rFonts w:hint="eastAsia" w:ascii="仿宋_GB2312" w:hAnsi="仿宋_GB2312" w:eastAsia="仿宋_GB2312" w:cs="仿宋_GB2312"/>
          <w:color w:val="000000" w:themeColor="text1"/>
          <w:sz w:val="32"/>
          <w:szCs w:val="32"/>
          <w:highlight w:val="none"/>
          <w14:textFill>
            <w14:solidFill>
              <w14:schemeClr w14:val="tx1"/>
            </w14:solidFill>
          </w14:textFill>
        </w:rPr>
        <w:t>乙方应按照法律法规的规定办理</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本项目所需的建设及经营所需手续</w:t>
      </w:r>
      <w:r>
        <w:rPr>
          <w:rFonts w:hint="eastAsia" w:ascii="仿宋_GB2312" w:hAnsi="仿宋_GB2312" w:eastAsia="仿宋_GB2312" w:cs="仿宋_GB2312"/>
          <w:color w:val="000000" w:themeColor="text1"/>
          <w:sz w:val="32"/>
          <w:szCs w:val="32"/>
          <w:highlight w:val="none"/>
          <w14:textFill>
            <w14:solidFill>
              <w14:schemeClr w14:val="tx1"/>
            </w14:solidFill>
          </w14:textFill>
        </w:rPr>
        <w:t>，由此产生的费用由乙方自行承担；</w:t>
      </w:r>
    </w:p>
    <w:p w14:paraId="488FE341">
      <w:pPr>
        <w:numPr>
          <w:ilvl w:val="-1"/>
          <w:numId w:val="0"/>
        </w:numPr>
        <w:spacing w:line="560" w:lineRule="exact"/>
        <w:ind w:firstLine="640" w:firstLineChars="200"/>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 xml:space="preserve">11.6 </w:t>
      </w:r>
      <w:r>
        <w:rPr>
          <w:rFonts w:hint="eastAsia" w:ascii="仿宋_GB2312" w:hAnsi="仿宋_GB2312" w:eastAsia="仿宋_GB2312" w:cs="仿宋_GB2312"/>
          <w:color w:val="000000" w:themeColor="text1"/>
          <w:sz w:val="32"/>
          <w:szCs w:val="32"/>
          <w:highlight w:val="none"/>
          <w14:textFill>
            <w14:solidFill>
              <w14:schemeClr w14:val="tx1"/>
            </w14:solidFill>
          </w14:textFill>
        </w:rPr>
        <w:t>乙方应在约定的建设周期内完成项目建设并实现投产运营；</w:t>
      </w:r>
    </w:p>
    <w:p w14:paraId="2E5F1918">
      <w:pPr>
        <w:numPr>
          <w:ilvl w:val="-1"/>
          <w:numId w:val="0"/>
        </w:numPr>
        <w:spacing w:line="560" w:lineRule="exact"/>
        <w:ind w:firstLine="640" w:firstLineChars="200"/>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 xml:space="preserve">11.7 </w:t>
      </w:r>
      <w:r>
        <w:rPr>
          <w:rFonts w:hint="eastAsia" w:ascii="仿宋_GB2312" w:hAnsi="仿宋_GB2312" w:eastAsia="仿宋_GB2312" w:cs="仿宋_GB2312"/>
          <w:color w:val="000000" w:themeColor="text1"/>
          <w:sz w:val="32"/>
          <w:szCs w:val="32"/>
          <w:highlight w:val="none"/>
          <w14:textFill>
            <w14:solidFill>
              <w14:schemeClr w14:val="tx1"/>
            </w14:solidFill>
          </w14:textFill>
        </w:rPr>
        <w:t>乙方负责项目建设的全部事项，保证安全文明施工，如项目发生安全责任事故导致任何第三方或乙方的人身损害或财产损失的，由乙方自行承担，与甲方无关</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若甲方因此承担责任或垫付费用的，有权向乙方追偿</w:t>
      </w:r>
      <w:r>
        <w:rPr>
          <w:rFonts w:hint="eastAsia" w:ascii="仿宋_GB2312" w:hAnsi="仿宋_GB2312" w:eastAsia="仿宋_GB2312" w:cs="仿宋_GB2312"/>
          <w:color w:val="000000" w:themeColor="text1"/>
          <w:sz w:val="32"/>
          <w:szCs w:val="32"/>
          <w:highlight w:val="none"/>
          <w14:textFill>
            <w14:solidFill>
              <w14:schemeClr w14:val="tx1"/>
            </w14:solidFill>
          </w14:textFill>
        </w:rPr>
        <w:t>；</w:t>
      </w:r>
    </w:p>
    <w:p w14:paraId="2238FA5E">
      <w:pPr>
        <w:numPr>
          <w:ilvl w:val="-1"/>
          <w:numId w:val="0"/>
        </w:numPr>
        <w:spacing w:line="560" w:lineRule="exact"/>
        <w:ind w:firstLine="640" w:firstLineChars="200"/>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 xml:space="preserve">11.8 </w:t>
      </w:r>
      <w:r>
        <w:rPr>
          <w:rFonts w:hint="eastAsia" w:ascii="仿宋_GB2312" w:hAnsi="仿宋_GB2312" w:eastAsia="仿宋_GB2312" w:cs="仿宋_GB2312"/>
          <w:color w:val="000000" w:themeColor="text1"/>
          <w:sz w:val="32"/>
          <w:szCs w:val="32"/>
          <w:highlight w:val="none"/>
          <w14:textFill>
            <w14:solidFill>
              <w14:schemeClr w14:val="tx1"/>
            </w14:solidFill>
          </w14:textFill>
        </w:rPr>
        <w:t>在合作期间内，乙方应确保本项目的正常经营；</w:t>
      </w:r>
    </w:p>
    <w:p w14:paraId="743F3647">
      <w:pPr>
        <w:numPr>
          <w:ilvl w:val="-1"/>
          <w:numId w:val="0"/>
        </w:numPr>
        <w:spacing w:line="560" w:lineRule="exact"/>
        <w:ind w:firstLine="640" w:firstLineChars="200"/>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 xml:space="preserve">11.9 </w:t>
      </w:r>
      <w:r>
        <w:rPr>
          <w:rFonts w:hint="eastAsia" w:ascii="仿宋_GB2312" w:hAnsi="仿宋_GB2312" w:eastAsia="仿宋_GB2312" w:cs="仿宋_GB2312"/>
          <w:color w:val="000000" w:themeColor="text1"/>
          <w:sz w:val="32"/>
          <w:szCs w:val="32"/>
          <w:highlight w:val="none"/>
          <w14:textFill>
            <w14:solidFill>
              <w14:schemeClr w14:val="tx1"/>
            </w14:solidFill>
          </w14:textFill>
        </w:rPr>
        <w:t>在合作期间内，乙方因项目运营产生的纠纷，包括但不限于债权债务纠纷、损害消费者合法权益、消防安全事故等事宜，均与甲方无关，由乙方自行负责</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若甲方因此承担责任或垫付费用的，有权向乙方追偿</w:t>
      </w:r>
      <w:r>
        <w:rPr>
          <w:rFonts w:hint="eastAsia" w:ascii="仿宋_GB2312" w:hAnsi="仿宋_GB2312" w:eastAsia="仿宋_GB2312" w:cs="仿宋_GB2312"/>
          <w:color w:val="000000" w:themeColor="text1"/>
          <w:sz w:val="32"/>
          <w:szCs w:val="32"/>
          <w:highlight w:val="none"/>
          <w14:textFill>
            <w14:solidFill>
              <w14:schemeClr w14:val="tx1"/>
            </w14:solidFill>
          </w14:textFill>
        </w:rPr>
        <w:t>；乙方在运营中导致任何第三方或乙方的人身损害或财产损失的，均由乙方自行承担，与甲方无关</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若甲方因此承担责任或垫付费用的，有权向乙方追偿</w:t>
      </w:r>
      <w:r>
        <w:rPr>
          <w:rFonts w:hint="eastAsia" w:ascii="仿宋_GB2312" w:hAnsi="仿宋_GB2312" w:eastAsia="仿宋_GB2312" w:cs="仿宋_GB2312"/>
          <w:color w:val="000000" w:themeColor="text1"/>
          <w:sz w:val="32"/>
          <w:szCs w:val="32"/>
          <w:highlight w:val="none"/>
          <w14:textFill>
            <w14:solidFill>
              <w14:schemeClr w14:val="tx1"/>
            </w14:solidFill>
          </w14:textFill>
        </w:rPr>
        <w:t>。</w:t>
      </w:r>
    </w:p>
    <w:p w14:paraId="32E931FE">
      <w:pPr>
        <w:numPr>
          <w:ilvl w:val="-1"/>
          <w:numId w:val="0"/>
        </w:numPr>
        <w:spacing w:line="560" w:lineRule="exact"/>
        <w:ind w:firstLine="640" w:firstLineChars="200"/>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 xml:space="preserve">11.10 </w:t>
      </w:r>
      <w:r>
        <w:rPr>
          <w:rFonts w:hint="eastAsia" w:ascii="仿宋_GB2312" w:hAnsi="仿宋_GB2312" w:eastAsia="仿宋_GB2312" w:cs="仿宋_GB2312"/>
          <w:color w:val="000000" w:themeColor="text1"/>
          <w:sz w:val="32"/>
          <w:szCs w:val="32"/>
          <w:highlight w:val="none"/>
          <w14:textFill>
            <w14:solidFill>
              <w14:schemeClr w14:val="tx1"/>
            </w14:solidFill>
          </w14:textFill>
        </w:rPr>
        <w:t>乙方应按时、完整、如实、准确地向甲方提供营业</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收入</w:t>
      </w:r>
      <w:r>
        <w:rPr>
          <w:rFonts w:hint="eastAsia" w:ascii="仿宋_GB2312" w:hAnsi="仿宋_GB2312" w:eastAsia="仿宋_GB2312" w:cs="仿宋_GB2312"/>
          <w:color w:val="000000" w:themeColor="text1"/>
          <w:sz w:val="32"/>
          <w:szCs w:val="32"/>
          <w:highlight w:val="none"/>
          <w14:textFill>
            <w14:solidFill>
              <w14:schemeClr w14:val="tx1"/>
            </w14:solidFill>
          </w14:textFill>
        </w:rPr>
        <w:t>数据，保证营业</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收入</w:t>
      </w:r>
      <w:r>
        <w:rPr>
          <w:rFonts w:hint="eastAsia" w:ascii="仿宋_GB2312" w:hAnsi="仿宋_GB2312" w:eastAsia="仿宋_GB2312" w:cs="仿宋_GB2312"/>
          <w:color w:val="000000" w:themeColor="text1"/>
          <w:sz w:val="32"/>
          <w:szCs w:val="32"/>
          <w:highlight w:val="none"/>
          <w14:textFill>
            <w14:solidFill>
              <w14:schemeClr w14:val="tx1"/>
            </w14:solidFill>
          </w14:textFill>
        </w:rPr>
        <w:t>涵盖乙方因项目运营而取得的全部收入。如甲方对营业</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收益</w:t>
      </w:r>
      <w:r>
        <w:rPr>
          <w:rFonts w:hint="eastAsia" w:ascii="仿宋_GB2312" w:hAnsi="仿宋_GB2312" w:eastAsia="仿宋_GB2312" w:cs="仿宋_GB2312"/>
          <w:color w:val="000000" w:themeColor="text1"/>
          <w:sz w:val="32"/>
          <w:szCs w:val="32"/>
          <w:highlight w:val="none"/>
          <w14:textFill>
            <w14:solidFill>
              <w14:schemeClr w14:val="tx1"/>
            </w14:solidFill>
          </w14:textFill>
        </w:rPr>
        <w:t>数据有异议的，乙方负责书面说明，甲方对乙方的营业</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收益</w:t>
      </w:r>
      <w:r>
        <w:rPr>
          <w:rFonts w:hint="eastAsia" w:ascii="仿宋_GB2312" w:hAnsi="仿宋_GB2312" w:eastAsia="仿宋_GB2312" w:cs="仿宋_GB2312"/>
          <w:color w:val="000000" w:themeColor="text1"/>
          <w:sz w:val="32"/>
          <w:szCs w:val="32"/>
          <w:highlight w:val="none"/>
          <w14:textFill>
            <w14:solidFill>
              <w14:schemeClr w14:val="tx1"/>
            </w14:solidFill>
          </w14:textFill>
        </w:rPr>
        <w:t>进行监督和查核时，乙方须予以配合。乙方同意甲方或经甲方授权的人有权随时查询乙方营业</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收入</w:t>
      </w:r>
      <w:r>
        <w:rPr>
          <w:rFonts w:hint="eastAsia" w:ascii="仿宋_GB2312" w:hAnsi="仿宋_GB2312" w:eastAsia="仿宋_GB2312" w:cs="仿宋_GB2312"/>
          <w:color w:val="000000" w:themeColor="text1"/>
          <w:sz w:val="32"/>
          <w:szCs w:val="32"/>
          <w:highlight w:val="none"/>
          <w14:textFill>
            <w14:solidFill>
              <w14:schemeClr w14:val="tx1"/>
            </w14:solidFill>
          </w14:textFill>
        </w:rPr>
        <w:t>资料、数据并进行打印或复印，乙方同意甲方或经甲方授权的人有权随时对乙方涉及本项目经营活动的情况及有关账目进行查核，乙方须保证提供经营期内所有的账务数据；</w:t>
      </w:r>
    </w:p>
    <w:p w14:paraId="5DE750CF">
      <w:pPr>
        <w:numPr>
          <w:ilvl w:val="-1"/>
          <w:numId w:val="0"/>
        </w:numPr>
        <w:spacing w:line="560" w:lineRule="exact"/>
        <w:ind w:firstLine="640" w:firstLineChars="200"/>
        <w:rPr>
          <w:rFonts w:hint="eastAsia" w:ascii="仿宋_GB2312" w:hAnsi="仿宋_GB2312" w:eastAsia="仿宋_GB2312" w:cs="仿宋_GB2312"/>
          <w:color w:val="FF0000"/>
          <w:sz w:val="32"/>
          <w:szCs w:val="32"/>
          <w:highlight w:val="none"/>
        </w:rPr>
      </w:pP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1</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 xml:space="preserve">1.11 </w:t>
      </w:r>
      <w:r>
        <w:rPr>
          <w:rFonts w:hint="eastAsia" w:ascii="仿宋_GB2312" w:hAnsi="仿宋_GB2312" w:eastAsia="仿宋_GB2312" w:cs="仿宋_GB2312"/>
          <w:color w:val="000000" w:themeColor="text1"/>
          <w:sz w:val="32"/>
          <w:szCs w:val="32"/>
          <w:highlight w:val="none"/>
          <w14:textFill>
            <w14:solidFill>
              <w14:schemeClr w14:val="tx1"/>
            </w14:solidFill>
          </w14:textFill>
        </w:rPr>
        <w:t>自</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本协议</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合作期满后，</w:t>
      </w:r>
      <w:r>
        <w:rPr>
          <w:rFonts w:hint="eastAsia" w:ascii="仿宋_GB2312" w:hAnsi="仿宋_GB2312" w:eastAsia="仿宋_GB2312" w:cs="仿宋_GB2312"/>
          <w:color w:val="000000" w:themeColor="text1"/>
          <w:sz w:val="32"/>
          <w:szCs w:val="32"/>
          <w:highlight w:val="none"/>
          <w14:textFill>
            <w14:solidFill>
              <w14:schemeClr w14:val="tx1"/>
            </w14:solidFill>
          </w14:textFill>
        </w:rPr>
        <w:t>乙方应当</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无条件</w:t>
      </w:r>
      <w:r>
        <w:rPr>
          <w:rFonts w:hint="eastAsia" w:ascii="仿宋_GB2312" w:hAnsi="仿宋_GB2312" w:eastAsia="仿宋_GB2312" w:cs="仿宋_GB2312"/>
          <w:color w:val="000000" w:themeColor="text1"/>
          <w:sz w:val="32"/>
          <w:szCs w:val="32"/>
          <w:highlight w:val="none"/>
          <w14:textFill>
            <w14:solidFill>
              <w14:schemeClr w14:val="tx1"/>
            </w14:solidFill>
          </w14:textFill>
        </w:rPr>
        <w:t>协助甲方办理</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资产</w:t>
      </w:r>
      <w:r>
        <w:rPr>
          <w:rFonts w:hint="eastAsia" w:ascii="仿宋_GB2312" w:hAnsi="仿宋_GB2312" w:eastAsia="仿宋_GB2312" w:cs="仿宋_GB2312"/>
          <w:color w:val="000000" w:themeColor="text1"/>
          <w:sz w:val="32"/>
          <w:szCs w:val="32"/>
          <w:highlight w:val="none"/>
          <w14:textFill>
            <w14:solidFill>
              <w14:schemeClr w14:val="tx1"/>
            </w14:solidFill>
          </w14:textFill>
        </w:rPr>
        <w:t>建筑物、构筑物及其</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固定</w:t>
      </w:r>
      <w:r>
        <w:rPr>
          <w:rFonts w:hint="eastAsia" w:ascii="仿宋_GB2312" w:hAnsi="仿宋_GB2312" w:eastAsia="仿宋_GB2312" w:cs="仿宋_GB2312"/>
          <w:color w:val="000000" w:themeColor="text1"/>
          <w:sz w:val="32"/>
          <w:szCs w:val="32"/>
          <w:highlight w:val="none"/>
          <w14:textFill>
            <w14:solidFill>
              <w14:schemeClr w14:val="tx1"/>
            </w14:solidFill>
          </w14:textFill>
        </w:rPr>
        <w:t>附属设施的</w:t>
      </w:r>
      <w:r>
        <w:rPr>
          <w:rFonts w:hint="eastAsia" w:ascii="仿宋_GB2312" w:hAnsi="仿宋_GB2312" w:eastAsia="仿宋_GB2312" w:cs="仿宋_GB2312"/>
          <w:color w:val="000000" w:themeColor="text1"/>
          <w:sz w:val="32"/>
          <w:szCs w:val="32"/>
          <w:highlight w:val="none"/>
          <w:lang w:val="en-US" w:eastAsia="zh-Hans"/>
          <w14:textFill>
            <w14:solidFill>
              <w14:schemeClr w14:val="tx1"/>
            </w14:solidFill>
          </w14:textFill>
        </w:rPr>
        <w:t>所有权</w:t>
      </w:r>
      <w:r>
        <w:rPr>
          <w:rFonts w:hint="eastAsia" w:ascii="仿宋_GB2312" w:hAnsi="仿宋_GB2312" w:eastAsia="仿宋_GB2312" w:cs="仿宋_GB2312"/>
          <w:color w:val="000000" w:themeColor="text1"/>
          <w:sz w:val="32"/>
          <w:szCs w:val="32"/>
          <w:highlight w:val="none"/>
          <w14:textFill>
            <w14:solidFill>
              <w14:schemeClr w14:val="tx1"/>
            </w14:solidFill>
          </w14:textFill>
        </w:rPr>
        <w:t>转移登记</w:t>
      </w:r>
      <w:r>
        <w:rPr>
          <w:rFonts w:hint="eastAsia" w:ascii="仿宋_GB2312" w:hAnsi="仿宋_GB2312" w:eastAsia="仿宋_GB2312" w:cs="仿宋_GB2312"/>
          <w:color w:val="000000" w:themeColor="text1"/>
          <w:sz w:val="32"/>
          <w:szCs w:val="32"/>
          <w:highlight w:val="none"/>
          <w:lang w:val="en-US" w:eastAsia="zh-Hans"/>
          <w14:textFill>
            <w14:solidFill>
              <w14:schemeClr w14:val="tx1"/>
            </w14:solidFill>
          </w14:textFill>
        </w:rPr>
        <w:t>手续</w:t>
      </w:r>
      <w:r>
        <w:rPr>
          <w:rFonts w:hint="eastAsia" w:ascii="仿宋_GB2312" w:hAnsi="仿宋_GB2312" w:eastAsia="仿宋_GB2312" w:cs="仿宋_GB2312"/>
          <w:color w:val="auto"/>
          <w:sz w:val="32"/>
          <w:szCs w:val="32"/>
          <w:highlight w:val="none"/>
        </w:rPr>
        <w:t>。</w:t>
      </w:r>
    </w:p>
    <w:p w14:paraId="028344EF">
      <w:pPr>
        <w:spacing w:line="560" w:lineRule="exact"/>
        <w:ind w:firstLine="643" w:firstLineChars="200"/>
        <w:rPr>
          <w:rFonts w:hint="eastAsia" w:ascii="仿宋_GB2312" w:hAnsi="仿宋_GB2312" w:eastAsia="仿宋_GB2312" w:cs="仿宋_GB2312"/>
          <w:b/>
          <w:bCs/>
          <w:color w:val="000000" w:themeColor="text1"/>
          <w:sz w:val="32"/>
          <w:szCs w:val="32"/>
          <w:highlight w:val="none"/>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14:textFill>
            <w14:solidFill>
              <w14:schemeClr w14:val="tx1"/>
            </w14:solidFill>
          </w14:textFill>
        </w:rPr>
        <w:t>第十</w:t>
      </w:r>
      <w:r>
        <w:rPr>
          <w:rFonts w:hint="eastAsia" w:ascii="仿宋_GB2312" w:hAnsi="仿宋_GB2312" w:eastAsia="仿宋_GB2312" w:cs="仿宋_GB2312"/>
          <w:b/>
          <w:bCs/>
          <w:color w:val="000000" w:themeColor="text1"/>
          <w:sz w:val="32"/>
          <w:szCs w:val="32"/>
          <w:highlight w:val="none"/>
          <w:lang w:eastAsia="zh-CN"/>
          <w14:textFill>
            <w14:solidFill>
              <w14:schemeClr w14:val="tx1"/>
            </w14:solidFill>
          </w14:textFill>
        </w:rPr>
        <w:t>二</w:t>
      </w:r>
      <w:r>
        <w:rPr>
          <w:rFonts w:hint="eastAsia" w:ascii="仿宋_GB2312" w:hAnsi="仿宋_GB2312" w:eastAsia="仿宋_GB2312" w:cs="仿宋_GB2312"/>
          <w:b/>
          <w:bCs/>
          <w:color w:val="000000" w:themeColor="text1"/>
          <w:sz w:val="32"/>
          <w:szCs w:val="32"/>
          <w:highlight w:val="none"/>
          <w14:textFill>
            <w14:solidFill>
              <w14:schemeClr w14:val="tx1"/>
            </w14:solidFill>
          </w14:textFill>
        </w:rPr>
        <w:t>条 违约责任</w:t>
      </w:r>
    </w:p>
    <w:p w14:paraId="04420DE4">
      <w:pPr>
        <w:numPr>
          <w:ilvl w:val="-1"/>
          <w:numId w:val="0"/>
        </w:numPr>
        <w:spacing w:line="560" w:lineRule="exact"/>
        <w:ind w:firstLine="640" w:firstLineChars="200"/>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12.1 如因甲方交付乙方的使用资产有权属纠纷或因甲方原因造成任何第三人阻碍建设进程或干扰使用资产的使用或投产运营的，甲方应积极配合排除阻碍。</w:t>
      </w:r>
    </w:p>
    <w:p w14:paraId="26AF16D3">
      <w:pPr>
        <w:numPr>
          <w:ilvl w:val="-1"/>
          <w:numId w:val="0"/>
        </w:numPr>
        <w:spacing w:line="560" w:lineRule="exact"/>
        <w:ind w:leftChars="0" w:firstLine="640" w:firstLineChars="200"/>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 xml:space="preserve">12.2 </w:t>
      </w:r>
      <w:r>
        <w:rPr>
          <w:rFonts w:hint="eastAsia" w:ascii="仿宋_GB2312" w:hAnsi="仿宋_GB2312" w:eastAsia="仿宋_GB2312" w:cs="仿宋_GB2312"/>
          <w:color w:val="000000" w:themeColor="text1"/>
          <w:sz w:val="32"/>
          <w:szCs w:val="32"/>
          <w:highlight w:val="none"/>
          <w14:textFill>
            <w14:solidFill>
              <w14:schemeClr w14:val="tx1"/>
            </w14:solidFill>
          </w14:textFill>
        </w:rPr>
        <w:t>如乙方逾期向甲方支付本</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协议</w:t>
      </w:r>
      <w:r>
        <w:rPr>
          <w:rFonts w:hint="eastAsia" w:ascii="仿宋_GB2312" w:hAnsi="仿宋_GB2312" w:eastAsia="仿宋_GB2312" w:cs="仿宋_GB2312"/>
          <w:color w:val="000000" w:themeColor="text1"/>
          <w:sz w:val="32"/>
          <w:szCs w:val="32"/>
          <w:highlight w:val="none"/>
          <w14:textFill>
            <w14:solidFill>
              <w14:schemeClr w14:val="tx1"/>
            </w14:solidFill>
          </w14:textFill>
        </w:rPr>
        <w:t>项下任何款项，乙方应按照未付款项</w:t>
      </w:r>
      <w:r>
        <w:rPr>
          <w:rFonts w:hint="eastAsia" w:ascii="仿宋_GB2312" w:hAnsi="仿宋_GB2312" w:eastAsia="仿宋_GB2312" w:cs="仿宋_GB2312"/>
          <w:color w:val="000000" w:themeColor="text1"/>
          <w:sz w:val="32"/>
          <w:szCs w:val="32"/>
          <w:highlight w:val="none"/>
          <w:lang w:val="en-US" w:eastAsia="zh-Hans"/>
          <w14:textFill>
            <w14:solidFill>
              <w14:schemeClr w14:val="tx1"/>
            </w14:solidFill>
          </w14:textFill>
        </w:rPr>
        <w:t>为基数</w:t>
      </w:r>
      <w:r>
        <w:rPr>
          <w:rFonts w:hint="eastAsia" w:ascii="仿宋_GB2312" w:hAnsi="仿宋_GB2312" w:eastAsia="仿宋_GB2312" w:cs="仿宋_GB2312"/>
          <w:color w:val="000000" w:themeColor="text1"/>
          <w:sz w:val="32"/>
          <w:szCs w:val="32"/>
          <w:highlight w:val="none"/>
          <w:lang w:eastAsia="zh-Hans"/>
          <w14:textFill>
            <w14:solidFill>
              <w14:schemeClr w14:val="tx1"/>
            </w14:solidFill>
          </w14:textFill>
        </w:rPr>
        <w:t>，</w:t>
      </w:r>
      <w:r>
        <w:rPr>
          <w:rFonts w:hint="eastAsia" w:ascii="仿宋_GB2312" w:hAnsi="仿宋_GB2312" w:eastAsia="仿宋_GB2312" w:cs="仿宋_GB2312"/>
          <w:color w:val="000000" w:themeColor="text1"/>
          <w:sz w:val="32"/>
          <w:szCs w:val="32"/>
          <w:highlight w:val="none"/>
          <w:lang w:val="en-US" w:eastAsia="zh-Hans"/>
          <w14:textFill>
            <w14:solidFill>
              <w14:schemeClr w14:val="tx1"/>
            </w14:solidFill>
          </w14:textFill>
        </w:rPr>
        <w:t>按</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银行间同业拆借中心公布</w:t>
      </w:r>
      <w:r>
        <w:rPr>
          <w:rFonts w:hint="eastAsia" w:ascii="仿宋_GB2312" w:hAnsi="仿宋_GB2312" w:eastAsia="仿宋_GB2312" w:cs="仿宋_GB2312"/>
          <w:color w:val="000000" w:themeColor="text1"/>
          <w:sz w:val="32"/>
          <w:szCs w:val="32"/>
          <w:highlight w:val="none"/>
          <w:lang w:val="en-US" w:eastAsia="zh-Hans"/>
          <w14:textFill>
            <w14:solidFill>
              <w14:schemeClr w14:val="tx1"/>
            </w14:solidFill>
          </w14:textFill>
        </w:rPr>
        <w:t>的</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贷款市场报价利率（LPR）</w:t>
      </w:r>
      <w:r>
        <w:rPr>
          <w:rFonts w:hint="eastAsia" w:ascii="仿宋_GB2312" w:hAnsi="仿宋_GB2312" w:eastAsia="仿宋_GB2312" w:cs="仿宋_GB2312"/>
          <w:color w:val="000000" w:themeColor="text1"/>
          <w:sz w:val="32"/>
          <w:szCs w:val="32"/>
          <w:highlight w:val="none"/>
          <w:lang w:val="en-US" w:eastAsia="zh-Hans"/>
          <w14:textFill>
            <w14:solidFill>
              <w14:schemeClr w14:val="tx1"/>
            </w14:solidFill>
          </w14:textFill>
        </w:rPr>
        <w:t>的</w:t>
      </w:r>
      <w:r>
        <w:rPr>
          <w:rFonts w:hint="eastAsia" w:ascii="仿宋_GB2312" w:hAnsi="仿宋_GB2312" w:eastAsia="仿宋_GB2312" w:cs="仿宋_GB2312"/>
          <w:color w:val="000000" w:themeColor="text1"/>
          <w:sz w:val="32"/>
          <w:szCs w:val="32"/>
          <w:highlight w:val="none"/>
          <w:lang w:eastAsia="zh-Hans"/>
          <w14:textFill>
            <w14:solidFill>
              <w14:schemeClr w14:val="tx1"/>
            </w14:solidFill>
          </w14:textFill>
        </w:rPr>
        <w:t>4</w:t>
      </w:r>
      <w:r>
        <w:rPr>
          <w:rFonts w:hint="eastAsia" w:ascii="仿宋_GB2312" w:hAnsi="仿宋_GB2312" w:eastAsia="仿宋_GB2312" w:cs="仿宋_GB2312"/>
          <w:color w:val="000000" w:themeColor="text1"/>
          <w:sz w:val="32"/>
          <w:szCs w:val="32"/>
          <w:highlight w:val="none"/>
          <w:lang w:val="en-US" w:eastAsia="zh-Hans"/>
          <w14:textFill>
            <w14:solidFill>
              <w14:schemeClr w14:val="tx1"/>
            </w14:solidFill>
          </w14:textFill>
        </w:rPr>
        <w:t>倍</w:t>
      </w:r>
      <w:r>
        <w:rPr>
          <w:rFonts w:hint="eastAsia" w:ascii="仿宋_GB2312" w:hAnsi="仿宋_GB2312" w:eastAsia="仿宋_GB2312" w:cs="仿宋_GB2312"/>
          <w:color w:val="000000" w:themeColor="text1"/>
          <w:sz w:val="32"/>
          <w:szCs w:val="32"/>
          <w:highlight w:val="none"/>
          <w14:textFill>
            <w14:solidFill>
              <w14:schemeClr w14:val="tx1"/>
            </w14:solidFill>
          </w14:textFill>
        </w:rPr>
        <w:t>向甲方支付迟延付款违约金</w:t>
      </w:r>
      <w:r>
        <w:rPr>
          <w:rFonts w:hint="eastAsia" w:ascii="仿宋_GB2312" w:hAnsi="仿宋_GB2312" w:eastAsia="仿宋_GB2312" w:cs="仿宋_GB2312"/>
          <w:color w:val="000000" w:themeColor="text1"/>
          <w:sz w:val="32"/>
          <w:szCs w:val="32"/>
          <w:highlight w:val="none"/>
          <w:lang w:eastAsia="zh-Hans"/>
          <w14:textFill>
            <w14:solidFill>
              <w14:schemeClr w14:val="tx1"/>
            </w14:solidFill>
          </w14:textFill>
        </w:rPr>
        <w:t>；</w:t>
      </w:r>
      <w:r>
        <w:rPr>
          <w:rFonts w:hint="eastAsia" w:ascii="仿宋_GB2312" w:hAnsi="仿宋_GB2312" w:eastAsia="仿宋_GB2312" w:cs="仿宋_GB2312"/>
          <w:color w:val="000000" w:themeColor="text1"/>
          <w:sz w:val="32"/>
          <w:szCs w:val="32"/>
          <w:highlight w:val="none"/>
          <w:lang w:val="en-US" w:eastAsia="zh-Hans"/>
          <w14:textFill>
            <w14:solidFill>
              <w14:schemeClr w14:val="tx1"/>
            </w14:solidFill>
          </w14:textFill>
        </w:rPr>
        <w:t>逾期超过</w:t>
      </w:r>
      <w:r>
        <w:rPr>
          <w:rFonts w:hint="eastAsia" w:ascii="仿宋_GB2312" w:hAnsi="仿宋_GB2312" w:eastAsia="仿宋_GB2312" w:cs="仿宋_GB2312"/>
          <w:color w:val="000000" w:themeColor="text1"/>
          <w:sz w:val="32"/>
          <w:szCs w:val="32"/>
          <w:highlight w:val="none"/>
          <w:lang w:eastAsia="zh-Hans"/>
          <w14:textFill>
            <w14:solidFill>
              <w14:schemeClr w14:val="tx1"/>
            </w14:solidFill>
          </w14:textFill>
        </w:rPr>
        <w:t>【</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60</w:t>
      </w:r>
      <w:r>
        <w:rPr>
          <w:rFonts w:hint="eastAsia" w:ascii="仿宋_GB2312" w:hAnsi="仿宋_GB2312" w:eastAsia="仿宋_GB2312" w:cs="仿宋_GB2312"/>
          <w:color w:val="000000" w:themeColor="text1"/>
          <w:sz w:val="32"/>
          <w:szCs w:val="32"/>
          <w:highlight w:val="none"/>
          <w:lang w:eastAsia="zh-Hans"/>
          <w14:textFill>
            <w14:solidFill>
              <w14:schemeClr w14:val="tx1"/>
            </w14:solidFill>
          </w14:textFill>
        </w:rPr>
        <w:t>】</w:t>
      </w:r>
      <w:r>
        <w:rPr>
          <w:rFonts w:hint="eastAsia" w:ascii="仿宋_GB2312" w:hAnsi="仿宋_GB2312" w:eastAsia="仿宋_GB2312" w:cs="仿宋_GB2312"/>
          <w:color w:val="000000" w:themeColor="text1"/>
          <w:sz w:val="32"/>
          <w:szCs w:val="32"/>
          <w:highlight w:val="none"/>
          <w:lang w:val="en-US" w:eastAsia="zh-Hans"/>
          <w14:textFill>
            <w14:solidFill>
              <w14:schemeClr w14:val="tx1"/>
            </w14:solidFill>
          </w14:textFill>
        </w:rPr>
        <w:t>日以上的</w:t>
      </w:r>
      <w:r>
        <w:rPr>
          <w:rFonts w:hint="eastAsia" w:ascii="仿宋_GB2312" w:hAnsi="仿宋_GB2312" w:eastAsia="仿宋_GB2312" w:cs="仿宋_GB2312"/>
          <w:color w:val="000000" w:themeColor="text1"/>
          <w:sz w:val="32"/>
          <w:szCs w:val="32"/>
          <w:highlight w:val="none"/>
          <w:lang w:eastAsia="zh-Hans"/>
          <w14:textFill>
            <w14:solidFill>
              <w14:schemeClr w14:val="tx1"/>
            </w14:solidFill>
          </w14:textFill>
        </w:rPr>
        <w:t>，</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甲方有权解除本协议，</w:t>
      </w:r>
      <w:r>
        <w:rPr>
          <w:rFonts w:hint="eastAsia" w:ascii="仿宋_GB2312" w:hAnsi="仿宋_GB2312" w:eastAsia="仿宋_GB2312" w:cs="仿宋_GB2312"/>
          <w:color w:val="000000" w:themeColor="text1"/>
          <w:sz w:val="32"/>
          <w:szCs w:val="32"/>
          <w:highlight w:val="none"/>
          <w:lang w:val="en-US" w:eastAsia="zh-Hans"/>
          <w14:textFill>
            <w14:solidFill>
              <w14:schemeClr w14:val="tx1"/>
            </w14:solidFill>
          </w14:textFill>
        </w:rPr>
        <w:t>乙方除应支付逾期违约金外</w:t>
      </w:r>
      <w:r>
        <w:rPr>
          <w:rFonts w:hint="eastAsia" w:ascii="仿宋_GB2312" w:hAnsi="仿宋_GB2312" w:eastAsia="仿宋_GB2312" w:cs="仿宋_GB2312"/>
          <w:color w:val="000000" w:themeColor="text1"/>
          <w:sz w:val="32"/>
          <w:szCs w:val="32"/>
          <w:highlight w:val="none"/>
          <w:lang w:eastAsia="zh-Hans"/>
          <w14:textFill>
            <w14:solidFill>
              <w14:schemeClr w14:val="tx1"/>
            </w14:solidFill>
          </w14:textFill>
        </w:rPr>
        <w:t>，</w:t>
      </w:r>
      <w:r>
        <w:rPr>
          <w:rFonts w:hint="eastAsia" w:ascii="仿宋_GB2312" w:hAnsi="仿宋_GB2312" w:eastAsia="仿宋_GB2312" w:cs="仿宋_GB2312"/>
          <w:color w:val="000000" w:themeColor="text1"/>
          <w:sz w:val="32"/>
          <w:szCs w:val="32"/>
          <w:highlight w:val="none"/>
          <w:lang w:val="en-US" w:eastAsia="zh-Hans"/>
          <w14:textFill>
            <w14:solidFill>
              <w14:schemeClr w14:val="tx1"/>
            </w14:solidFill>
          </w14:textFill>
        </w:rPr>
        <w:t>还应承担由此给甲方造成的所有损失</w:t>
      </w:r>
      <w:r>
        <w:rPr>
          <w:rFonts w:hint="eastAsia" w:ascii="仿宋_GB2312" w:hAnsi="仿宋_GB2312" w:eastAsia="仿宋_GB2312" w:cs="仿宋_GB2312"/>
          <w:color w:val="000000" w:themeColor="text1"/>
          <w:sz w:val="32"/>
          <w:szCs w:val="32"/>
          <w:highlight w:val="none"/>
          <w:lang w:eastAsia="zh-Hans"/>
          <w14:textFill>
            <w14:solidFill>
              <w14:schemeClr w14:val="tx1"/>
            </w14:solidFill>
          </w14:textFill>
        </w:rPr>
        <w:t>。</w:t>
      </w:r>
    </w:p>
    <w:p w14:paraId="3C949CC1">
      <w:pPr>
        <w:numPr>
          <w:ilvl w:val="-1"/>
          <w:numId w:val="0"/>
        </w:numPr>
        <w:spacing w:line="560" w:lineRule="exact"/>
        <w:ind w:firstLine="640" w:firstLineChars="200"/>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 xml:space="preserve">12.3 </w:t>
      </w:r>
      <w:r>
        <w:rPr>
          <w:rFonts w:hint="eastAsia" w:ascii="仿宋_GB2312" w:hAnsi="仿宋_GB2312" w:eastAsia="仿宋_GB2312" w:cs="仿宋_GB2312"/>
          <w:color w:val="000000" w:themeColor="text1"/>
          <w:sz w:val="32"/>
          <w:szCs w:val="32"/>
          <w:highlight w:val="none"/>
          <w14:textFill>
            <w14:solidFill>
              <w14:schemeClr w14:val="tx1"/>
            </w14:solidFill>
          </w14:textFill>
        </w:rPr>
        <w:t>乙方未合法经营产生的一切法律责任及相关</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后果</w:t>
      </w:r>
      <w:r>
        <w:rPr>
          <w:rFonts w:hint="eastAsia" w:ascii="仿宋_GB2312" w:hAnsi="仿宋_GB2312" w:eastAsia="仿宋_GB2312" w:cs="仿宋_GB2312"/>
          <w:color w:val="000000" w:themeColor="text1"/>
          <w:sz w:val="32"/>
          <w:szCs w:val="32"/>
          <w:highlight w:val="none"/>
          <w14:textFill>
            <w14:solidFill>
              <w14:schemeClr w14:val="tx1"/>
            </w14:solidFill>
          </w14:textFill>
        </w:rPr>
        <w:t>由乙方自行承担，由此给甲方造成经济损失，乙方应承担一切赔偿责任。</w:t>
      </w:r>
    </w:p>
    <w:p w14:paraId="7717866B">
      <w:pPr>
        <w:numPr>
          <w:ilvl w:val="-1"/>
          <w:numId w:val="0"/>
        </w:numPr>
        <w:spacing w:line="560" w:lineRule="exact"/>
        <w:ind w:firstLine="640" w:firstLineChars="200"/>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12.4 因乙方原因导致本协议目的不能实现的，经甲方催告后，限期内仍未解决的，甲方有权解除本协议。</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乙方应</w:t>
      </w:r>
      <w:r>
        <w:rPr>
          <w:rFonts w:hint="eastAsia" w:ascii="仿宋_GB2312" w:hAnsi="仿宋_GB2312" w:eastAsia="仿宋_GB2312" w:cs="仿宋_GB2312"/>
          <w:color w:val="000000" w:themeColor="text1"/>
          <w:sz w:val="32"/>
          <w:szCs w:val="32"/>
          <w:highlight w:val="none"/>
          <w:lang w:val="en-US" w:eastAsia="zh-Hans"/>
          <w14:textFill>
            <w14:solidFill>
              <w14:schemeClr w14:val="tx1"/>
            </w14:solidFill>
          </w14:textFill>
        </w:rPr>
        <w:t>按本</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协议</w:t>
      </w:r>
      <w:r>
        <w:rPr>
          <w:rFonts w:hint="eastAsia" w:ascii="仿宋_GB2312" w:hAnsi="仿宋_GB2312" w:eastAsia="仿宋_GB2312" w:cs="仿宋_GB2312"/>
          <w:color w:val="000000" w:themeColor="text1"/>
          <w:sz w:val="32"/>
          <w:szCs w:val="32"/>
          <w:highlight w:val="none"/>
          <w:lang w:val="en-US" w:eastAsia="zh-Hans"/>
          <w14:textFill>
            <w14:solidFill>
              <w14:schemeClr w14:val="tx1"/>
            </w14:solidFill>
          </w14:textFill>
        </w:rPr>
        <w:t>约定</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的第二年全部资产</w:t>
      </w:r>
      <w:r>
        <w:rPr>
          <w:rFonts w:hint="eastAsia" w:ascii="仿宋_GB2312" w:hAnsi="仿宋_GB2312" w:eastAsia="仿宋_GB2312" w:cs="仿宋_GB2312"/>
          <w:color w:val="000000" w:themeColor="text1"/>
          <w:sz w:val="32"/>
          <w:szCs w:val="32"/>
          <w:highlight w:val="none"/>
          <w14:textFill>
            <w14:solidFill>
              <w14:schemeClr w14:val="tx1"/>
            </w14:solidFill>
          </w14:textFill>
        </w:rPr>
        <w:t>保底</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收益</w:t>
      </w:r>
      <w:r>
        <w:rPr>
          <w:rFonts w:hint="eastAsia" w:ascii="仿宋_GB2312" w:hAnsi="仿宋_GB2312" w:eastAsia="仿宋_GB2312" w:cs="仿宋_GB2312"/>
          <w:color w:val="000000" w:themeColor="text1"/>
          <w:sz w:val="32"/>
          <w:szCs w:val="32"/>
          <w:highlight w:val="none"/>
          <w14:textFill>
            <w14:solidFill>
              <w14:schemeClr w14:val="tx1"/>
            </w14:solidFill>
          </w14:textFill>
        </w:rPr>
        <w:t>总额的【</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10</w:t>
      </w:r>
      <w:r>
        <w:rPr>
          <w:rFonts w:hint="eastAsia" w:ascii="仿宋_GB2312" w:hAnsi="仿宋_GB2312" w:eastAsia="仿宋_GB2312" w:cs="仿宋_GB2312"/>
          <w:color w:val="000000" w:themeColor="text1"/>
          <w:sz w:val="32"/>
          <w:szCs w:val="32"/>
          <w:highlight w:val="none"/>
          <w14:textFill>
            <w14:solidFill>
              <w14:schemeClr w14:val="tx1"/>
            </w14:solidFill>
          </w14:textFill>
        </w:rPr>
        <w:t>】%向甲方支付违约金，违约金不足以弥补甲方损失的，乙方还应承担损害赔偿责任</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p>
    <w:p w14:paraId="0781D030">
      <w:pPr>
        <w:numPr>
          <w:ilvl w:val="-1"/>
          <w:numId w:val="0"/>
        </w:numPr>
        <w:spacing w:line="560" w:lineRule="exact"/>
        <w:ind w:firstLine="640" w:firstLineChars="200"/>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 xml:space="preserve">12.5 </w:t>
      </w:r>
      <w:r>
        <w:rPr>
          <w:rFonts w:hint="eastAsia" w:ascii="仿宋_GB2312" w:hAnsi="仿宋_GB2312" w:eastAsia="仿宋_GB2312" w:cs="仿宋_GB2312"/>
          <w:color w:val="000000" w:themeColor="text1"/>
          <w:sz w:val="32"/>
          <w:szCs w:val="32"/>
          <w:highlight w:val="none"/>
          <w14:textFill>
            <w14:solidFill>
              <w14:schemeClr w14:val="tx1"/>
            </w14:solidFill>
          </w14:textFill>
        </w:rPr>
        <w:t>乙方应确保提供的营业</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收益</w:t>
      </w:r>
      <w:r>
        <w:rPr>
          <w:rFonts w:hint="eastAsia" w:ascii="仿宋_GB2312" w:hAnsi="仿宋_GB2312" w:eastAsia="仿宋_GB2312" w:cs="仿宋_GB2312"/>
          <w:color w:val="000000" w:themeColor="text1"/>
          <w:sz w:val="32"/>
          <w:szCs w:val="32"/>
          <w:highlight w:val="none"/>
          <w14:textFill>
            <w14:solidFill>
              <w14:schemeClr w14:val="tx1"/>
            </w14:solidFill>
          </w14:textFill>
        </w:rPr>
        <w:t>数据</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完整、</w:t>
      </w:r>
      <w:r>
        <w:rPr>
          <w:rFonts w:hint="eastAsia" w:ascii="仿宋_GB2312" w:hAnsi="仿宋_GB2312" w:eastAsia="仿宋_GB2312" w:cs="仿宋_GB2312"/>
          <w:color w:val="000000" w:themeColor="text1"/>
          <w:sz w:val="32"/>
          <w:szCs w:val="32"/>
          <w:highlight w:val="none"/>
          <w14:textFill>
            <w14:solidFill>
              <w14:schemeClr w14:val="tx1"/>
            </w14:solidFill>
          </w14:textFill>
        </w:rPr>
        <w:t>准确、真实，如乙方</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拒绝配合提供或</w:t>
      </w:r>
      <w:r>
        <w:rPr>
          <w:rFonts w:hint="eastAsia" w:ascii="仿宋_GB2312" w:hAnsi="仿宋_GB2312" w:eastAsia="仿宋_GB2312" w:cs="仿宋_GB2312"/>
          <w:color w:val="000000" w:themeColor="text1"/>
          <w:sz w:val="32"/>
          <w:szCs w:val="32"/>
          <w:highlight w:val="none"/>
          <w14:textFill>
            <w14:solidFill>
              <w14:schemeClr w14:val="tx1"/>
            </w14:solidFill>
          </w14:textFill>
        </w:rPr>
        <w:t>提供的营业</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收益</w:t>
      </w:r>
      <w:r>
        <w:rPr>
          <w:rFonts w:hint="eastAsia" w:ascii="仿宋_GB2312" w:hAnsi="仿宋_GB2312" w:eastAsia="仿宋_GB2312" w:cs="仿宋_GB2312"/>
          <w:color w:val="000000" w:themeColor="text1"/>
          <w:sz w:val="32"/>
          <w:szCs w:val="32"/>
          <w:highlight w:val="none"/>
          <w14:textFill>
            <w14:solidFill>
              <w14:schemeClr w14:val="tx1"/>
            </w14:solidFill>
          </w14:textFill>
        </w:rPr>
        <w:t>数据与实际经营情况不符，或乙方篡改、伪造数据的，视为乙方违约，甲方有权</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解除本协议。乙方应</w:t>
      </w:r>
      <w:r>
        <w:rPr>
          <w:rFonts w:hint="eastAsia" w:ascii="仿宋_GB2312" w:hAnsi="仿宋_GB2312" w:eastAsia="仿宋_GB2312" w:cs="仿宋_GB2312"/>
          <w:color w:val="000000" w:themeColor="text1"/>
          <w:sz w:val="32"/>
          <w:szCs w:val="32"/>
          <w:highlight w:val="none"/>
          <w:lang w:val="en-US" w:eastAsia="zh-Hans"/>
          <w14:textFill>
            <w14:solidFill>
              <w14:schemeClr w14:val="tx1"/>
            </w14:solidFill>
          </w14:textFill>
        </w:rPr>
        <w:t>按本</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协议</w:t>
      </w:r>
      <w:r>
        <w:rPr>
          <w:rFonts w:hint="eastAsia" w:ascii="仿宋_GB2312" w:hAnsi="仿宋_GB2312" w:eastAsia="仿宋_GB2312" w:cs="仿宋_GB2312"/>
          <w:color w:val="000000" w:themeColor="text1"/>
          <w:sz w:val="32"/>
          <w:szCs w:val="32"/>
          <w:highlight w:val="none"/>
          <w:lang w:val="en-US" w:eastAsia="zh-Hans"/>
          <w14:textFill>
            <w14:solidFill>
              <w14:schemeClr w14:val="tx1"/>
            </w14:solidFill>
          </w14:textFill>
        </w:rPr>
        <w:t>约定</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的第二年全部资产</w:t>
      </w:r>
      <w:r>
        <w:rPr>
          <w:rFonts w:hint="eastAsia" w:ascii="仿宋_GB2312" w:hAnsi="仿宋_GB2312" w:eastAsia="仿宋_GB2312" w:cs="仿宋_GB2312"/>
          <w:color w:val="000000" w:themeColor="text1"/>
          <w:sz w:val="32"/>
          <w:szCs w:val="32"/>
          <w:highlight w:val="none"/>
          <w14:textFill>
            <w14:solidFill>
              <w14:schemeClr w14:val="tx1"/>
            </w14:solidFill>
          </w14:textFill>
        </w:rPr>
        <w:t>保底</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收益</w:t>
      </w:r>
      <w:r>
        <w:rPr>
          <w:rFonts w:hint="eastAsia" w:ascii="仿宋_GB2312" w:hAnsi="仿宋_GB2312" w:eastAsia="仿宋_GB2312" w:cs="仿宋_GB2312"/>
          <w:color w:val="000000" w:themeColor="text1"/>
          <w:sz w:val="32"/>
          <w:szCs w:val="32"/>
          <w:highlight w:val="none"/>
          <w14:textFill>
            <w14:solidFill>
              <w14:schemeClr w14:val="tx1"/>
            </w14:solidFill>
          </w14:textFill>
        </w:rPr>
        <w:t>总额的【</w:t>
      </w:r>
      <w:r>
        <w:rPr>
          <w:rFonts w:hint="eastAsia" w:ascii="仿宋_GB2312" w:hAnsi="仿宋_GB2312" w:eastAsia="仿宋_GB2312" w:cs="仿宋_GB2312"/>
          <w:color w:val="000000" w:themeColor="text1"/>
          <w:sz w:val="32"/>
          <w:szCs w:val="32"/>
          <w:highlight w:val="none"/>
          <w:u w:val="single"/>
          <w:lang w:val="en-US" w:eastAsia="zh-CN"/>
          <w14:textFill>
            <w14:solidFill>
              <w14:schemeClr w14:val="tx1"/>
            </w14:solidFill>
          </w14:textFill>
        </w:rPr>
        <w:t>10</w:t>
      </w:r>
      <w:r>
        <w:rPr>
          <w:rFonts w:hint="eastAsia" w:ascii="仿宋_GB2312" w:hAnsi="仿宋_GB2312" w:eastAsia="仿宋_GB2312" w:cs="仿宋_GB2312"/>
          <w:color w:val="000000" w:themeColor="text1"/>
          <w:sz w:val="32"/>
          <w:szCs w:val="32"/>
          <w:highlight w:val="none"/>
          <w14:textFill>
            <w14:solidFill>
              <w14:schemeClr w14:val="tx1"/>
            </w14:solidFill>
          </w14:textFill>
        </w:rPr>
        <w:t>】%向甲方支付违约金，违约金不足以弥补甲方损失的，乙方还应承担损害赔偿责任。</w:t>
      </w:r>
    </w:p>
    <w:p w14:paraId="6517B816">
      <w:pPr>
        <w:numPr>
          <w:ilvl w:val="-1"/>
          <w:numId w:val="0"/>
        </w:numPr>
        <w:spacing w:line="560" w:lineRule="exact"/>
        <w:ind w:leftChars="0" w:firstLine="640" w:firstLineChars="200"/>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12.6 未经甲方书面同意，</w:t>
      </w:r>
      <w:r>
        <w:rPr>
          <w:rFonts w:hint="eastAsia" w:ascii="仿宋_GB2312" w:hAnsi="仿宋_GB2312" w:eastAsia="仿宋_GB2312" w:cs="仿宋_GB2312"/>
          <w:sz w:val="32"/>
          <w:szCs w:val="32"/>
          <w:lang w:val="en-US" w:eastAsia="zh-Hans"/>
        </w:rPr>
        <w:t>乙方擅自变更</w:t>
      </w:r>
      <w:r>
        <w:rPr>
          <w:rFonts w:hint="eastAsia" w:ascii="仿宋_GB2312" w:hAnsi="仿宋_GB2312" w:eastAsia="仿宋_GB2312" w:cs="仿宋_GB2312"/>
          <w:sz w:val="32"/>
          <w:szCs w:val="32"/>
          <w:lang w:val="en-US" w:eastAsia="zh-CN"/>
        </w:rPr>
        <w:t>资产</w:t>
      </w:r>
      <w:r>
        <w:rPr>
          <w:rFonts w:hint="eastAsia" w:ascii="仿宋_GB2312" w:hAnsi="仿宋_GB2312" w:eastAsia="仿宋_GB2312" w:cs="仿宋_GB2312"/>
          <w:sz w:val="32"/>
          <w:szCs w:val="32"/>
          <w:lang w:val="en-US" w:eastAsia="zh-Hans"/>
        </w:rPr>
        <w:t>用途</w:t>
      </w:r>
      <w:r>
        <w:rPr>
          <w:rFonts w:hint="eastAsia" w:ascii="仿宋_GB2312" w:hAnsi="仿宋_GB2312" w:eastAsia="仿宋_GB2312" w:cs="仿宋_GB2312"/>
          <w:sz w:val="32"/>
          <w:szCs w:val="32"/>
          <w:lang w:eastAsia="zh-Hans"/>
        </w:rPr>
        <w:t xml:space="preserve">、 </w:t>
      </w:r>
      <w:r>
        <w:rPr>
          <w:rFonts w:hint="eastAsia" w:ascii="仿宋_GB2312" w:hAnsi="仿宋_GB2312" w:eastAsia="仿宋_GB2312" w:cs="仿宋_GB2312"/>
          <w:sz w:val="32"/>
          <w:szCs w:val="32"/>
          <w:lang w:val="en-US" w:eastAsia="zh-Hans"/>
        </w:rPr>
        <w:t>未按照</w:t>
      </w:r>
      <w:r>
        <w:rPr>
          <w:rFonts w:hint="eastAsia" w:ascii="仿宋_GB2312" w:hAnsi="仿宋_GB2312" w:eastAsia="仿宋_GB2312" w:cs="仿宋_GB2312"/>
          <w:sz w:val="32"/>
          <w:szCs w:val="32"/>
          <w:lang w:val="en-US" w:eastAsia="zh-CN"/>
        </w:rPr>
        <w:t>协议</w:t>
      </w:r>
      <w:r>
        <w:rPr>
          <w:rFonts w:hint="eastAsia" w:ascii="仿宋_GB2312" w:hAnsi="仿宋_GB2312" w:eastAsia="仿宋_GB2312" w:cs="仿宋_GB2312"/>
          <w:sz w:val="32"/>
          <w:szCs w:val="32"/>
          <w:lang w:val="en-US" w:eastAsia="zh-Hans"/>
        </w:rPr>
        <w:t>约定进行项目建设</w:t>
      </w:r>
      <w:r>
        <w:rPr>
          <w:rFonts w:hint="eastAsia" w:ascii="仿宋_GB2312" w:hAnsi="仿宋_GB2312" w:eastAsia="仿宋_GB2312" w:cs="仿宋_GB2312"/>
          <w:sz w:val="32"/>
          <w:szCs w:val="32"/>
          <w:lang w:eastAsia="zh-Hans"/>
        </w:rPr>
        <w:t>、</w:t>
      </w:r>
      <w:r>
        <w:rPr>
          <w:rFonts w:hint="eastAsia" w:ascii="仿宋_GB2312" w:hAnsi="仿宋_GB2312" w:eastAsia="仿宋_GB2312" w:cs="仿宋_GB2312"/>
          <w:sz w:val="32"/>
          <w:szCs w:val="32"/>
          <w:lang w:val="en-US" w:eastAsia="zh-Hans"/>
        </w:rPr>
        <w:t>运营的</w:t>
      </w:r>
      <w:r>
        <w:rPr>
          <w:rFonts w:hint="eastAsia" w:ascii="仿宋_GB2312" w:hAnsi="仿宋_GB2312" w:eastAsia="仿宋_GB2312" w:cs="仿宋_GB2312"/>
          <w:sz w:val="32"/>
          <w:szCs w:val="32"/>
          <w:lang w:eastAsia="zh-Hans"/>
        </w:rPr>
        <w:t>，</w:t>
      </w:r>
      <w:r>
        <w:rPr>
          <w:rFonts w:hint="eastAsia" w:ascii="仿宋_GB2312" w:hAnsi="仿宋_GB2312" w:eastAsia="仿宋_GB2312" w:cs="仿宋_GB2312"/>
          <w:sz w:val="32"/>
          <w:szCs w:val="32"/>
          <w:lang w:val="en-US" w:eastAsia="zh-Hans"/>
        </w:rPr>
        <w:t>甲方有权单方解除合同收回</w:t>
      </w:r>
      <w:r>
        <w:rPr>
          <w:rFonts w:hint="eastAsia" w:ascii="仿宋_GB2312" w:hAnsi="仿宋_GB2312" w:eastAsia="仿宋_GB2312" w:cs="仿宋_GB2312"/>
          <w:sz w:val="32"/>
          <w:szCs w:val="32"/>
          <w:lang w:val="en-US" w:eastAsia="zh-CN"/>
        </w:rPr>
        <w:t>资产</w:t>
      </w:r>
      <w:r>
        <w:rPr>
          <w:rFonts w:hint="eastAsia" w:ascii="仿宋_GB2312" w:hAnsi="仿宋_GB2312" w:eastAsia="仿宋_GB2312" w:cs="仿宋_GB2312"/>
          <w:sz w:val="32"/>
          <w:szCs w:val="32"/>
          <w:lang w:eastAsia="zh-Hans"/>
        </w:rPr>
        <w:t>，</w:t>
      </w:r>
      <w:r>
        <w:rPr>
          <w:rFonts w:hint="eastAsia" w:ascii="仿宋_GB2312" w:hAnsi="仿宋_GB2312" w:eastAsia="仿宋_GB2312" w:cs="仿宋_GB2312"/>
          <w:sz w:val="32"/>
          <w:szCs w:val="32"/>
          <w:lang w:val="en-US" w:eastAsia="zh-Hans"/>
        </w:rPr>
        <w:t>乙方已支付的费用不予退还并有权要求乙方按照</w:t>
      </w:r>
      <w:r>
        <w:rPr>
          <w:rFonts w:hint="eastAsia" w:ascii="仿宋_GB2312" w:hAnsi="仿宋_GB2312" w:eastAsia="仿宋_GB2312" w:cs="仿宋_GB2312"/>
          <w:sz w:val="32"/>
          <w:szCs w:val="32"/>
          <w:lang w:val="en-US" w:eastAsia="zh-CN"/>
        </w:rPr>
        <w:t>第一年全部资产</w:t>
      </w:r>
      <w:r>
        <w:rPr>
          <w:rFonts w:hint="eastAsia" w:ascii="仿宋_GB2312" w:hAnsi="仿宋_GB2312" w:eastAsia="仿宋_GB2312" w:cs="仿宋_GB2312"/>
          <w:sz w:val="32"/>
          <w:szCs w:val="32"/>
          <w:lang w:val="en-US" w:eastAsia="zh-Hans"/>
        </w:rPr>
        <w:t>保底</w:t>
      </w:r>
      <w:r>
        <w:rPr>
          <w:rFonts w:hint="eastAsia" w:ascii="仿宋_GB2312" w:hAnsi="仿宋_GB2312" w:eastAsia="仿宋_GB2312" w:cs="仿宋_GB2312"/>
          <w:sz w:val="32"/>
          <w:szCs w:val="32"/>
          <w:lang w:val="en-US" w:eastAsia="zh-CN"/>
        </w:rPr>
        <w:t>收益</w:t>
      </w:r>
      <w:r>
        <w:rPr>
          <w:rFonts w:hint="eastAsia" w:ascii="仿宋_GB2312" w:hAnsi="仿宋_GB2312" w:eastAsia="仿宋_GB2312" w:cs="仿宋_GB2312"/>
          <w:sz w:val="32"/>
          <w:szCs w:val="32"/>
          <w:lang w:val="en-US" w:eastAsia="zh-Hans"/>
        </w:rPr>
        <w:t>总额的</w:t>
      </w:r>
      <w:r>
        <w:rPr>
          <w:rFonts w:hint="eastAsia" w:ascii="仿宋_GB2312" w:hAnsi="仿宋_GB2312" w:eastAsia="仿宋_GB2312" w:cs="仿宋_GB2312"/>
          <w:sz w:val="32"/>
          <w:szCs w:val="32"/>
          <w:lang w:eastAsia="zh-Hans"/>
        </w:rPr>
        <w:t>【</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lang w:eastAsia="zh-Hans"/>
        </w:rPr>
        <w:t>】%</w:t>
      </w:r>
      <w:r>
        <w:rPr>
          <w:rFonts w:hint="eastAsia" w:ascii="仿宋_GB2312" w:hAnsi="仿宋_GB2312" w:eastAsia="仿宋_GB2312" w:cs="仿宋_GB2312"/>
          <w:sz w:val="32"/>
          <w:szCs w:val="32"/>
          <w:lang w:val="en-US" w:eastAsia="zh-Hans"/>
        </w:rPr>
        <w:t>向甲方支付违约金</w:t>
      </w:r>
      <w:r>
        <w:rPr>
          <w:rFonts w:hint="eastAsia" w:ascii="仿宋_GB2312" w:hAnsi="仿宋_GB2312" w:eastAsia="仿宋_GB2312" w:cs="仿宋_GB2312"/>
          <w:sz w:val="32"/>
          <w:szCs w:val="32"/>
          <w:lang w:eastAsia="zh-Hans"/>
        </w:rPr>
        <w:t>，</w:t>
      </w:r>
      <w:r>
        <w:rPr>
          <w:rFonts w:hint="eastAsia" w:ascii="仿宋_GB2312" w:hAnsi="仿宋_GB2312" w:eastAsia="仿宋_GB2312" w:cs="仿宋_GB2312"/>
          <w:sz w:val="32"/>
          <w:szCs w:val="32"/>
          <w:lang w:val="en-US" w:eastAsia="zh-Hans"/>
        </w:rPr>
        <w:t>违约金不足以弥补甲方损失的</w:t>
      </w:r>
      <w:r>
        <w:rPr>
          <w:rFonts w:hint="eastAsia" w:ascii="仿宋_GB2312" w:hAnsi="仿宋_GB2312" w:eastAsia="仿宋_GB2312" w:cs="仿宋_GB2312"/>
          <w:sz w:val="32"/>
          <w:szCs w:val="32"/>
          <w:lang w:eastAsia="zh-Hans"/>
        </w:rPr>
        <w:t>，</w:t>
      </w:r>
      <w:r>
        <w:rPr>
          <w:rFonts w:hint="eastAsia" w:ascii="仿宋_GB2312" w:hAnsi="仿宋_GB2312" w:eastAsia="仿宋_GB2312" w:cs="仿宋_GB2312"/>
          <w:sz w:val="32"/>
          <w:szCs w:val="32"/>
          <w:lang w:val="en-US" w:eastAsia="zh-Hans"/>
        </w:rPr>
        <w:t>乙方还应承担损害赔偿责任</w:t>
      </w:r>
      <w:r>
        <w:rPr>
          <w:rFonts w:hint="eastAsia" w:ascii="仿宋_GB2312" w:hAnsi="仿宋_GB2312" w:eastAsia="仿宋_GB2312" w:cs="仿宋_GB2312"/>
          <w:sz w:val="32"/>
          <w:szCs w:val="32"/>
          <w:lang w:eastAsia="zh-Hans"/>
        </w:rPr>
        <w:t>。</w:t>
      </w:r>
    </w:p>
    <w:p w14:paraId="0DA6563D">
      <w:pPr>
        <w:numPr>
          <w:ilvl w:val="-1"/>
          <w:numId w:val="0"/>
        </w:numPr>
        <w:spacing w:line="560" w:lineRule="exact"/>
        <w:ind w:leftChars="0" w:firstLine="640" w:firstLineChars="200"/>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12.7 未经甲方书面同意，乙方擅自将资产全部或部分转租、分租，或将本协议项下的权利义务全部或部分转让给第三方，甲方有权单方解除合同收回资产，乙方已支付的费用不予退还并有权要求乙方按照第一年全部资产保底收益总额的【10】%向甲方支付违约金，违约金不足以弥补甲方损失的，乙方还应承担损害赔偿责任。</w:t>
      </w:r>
    </w:p>
    <w:p w14:paraId="23EAD15C">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lang w:eastAsia="zh-Hans"/>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12.8</w:t>
      </w:r>
      <w:r>
        <w:rPr>
          <w:rFonts w:hint="eastAsia" w:ascii="仿宋_GB2312" w:hAnsi="仿宋_GB2312" w:eastAsia="仿宋_GB2312" w:cs="仿宋_GB2312"/>
          <w:sz w:val="32"/>
          <w:szCs w:val="32"/>
          <w:lang w:val="en-US" w:eastAsia="zh-Hans"/>
        </w:rPr>
        <w:t>乙方未在约定的建设周期内完成项目建设并实现投产运营的</w:t>
      </w:r>
      <w:r>
        <w:rPr>
          <w:rFonts w:hint="eastAsia" w:ascii="仿宋_GB2312" w:hAnsi="仿宋_GB2312" w:eastAsia="仿宋_GB2312" w:cs="仿宋_GB2312"/>
          <w:sz w:val="32"/>
          <w:szCs w:val="32"/>
          <w:lang w:eastAsia="zh-Hans"/>
        </w:rPr>
        <w:t>，</w:t>
      </w:r>
      <w:r>
        <w:rPr>
          <w:rFonts w:hint="eastAsia" w:ascii="仿宋_GB2312" w:hAnsi="仿宋_GB2312" w:eastAsia="仿宋_GB2312" w:cs="仿宋_GB2312"/>
          <w:sz w:val="32"/>
          <w:szCs w:val="32"/>
          <w:lang w:val="en-US" w:eastAsia="zh-Hans"/>
        </w:rPr>
        <w:t>甲方有权单方解除合同收回</w:t>
      </w:r>
      <w:r>
        <w:rPr>
          <w:rFonts w:hint="eastAsia" w:ascii="仿宋_GB2312" w:hAnsi="仿宋_GB2312" w:eastAsia="仿宋_GB2312" w:cs="仿宋_GB2312"/>
          <w:sz w:val="32"/>
          <w:szCs w:val="32"/>
          <w:lang w:val="en-US" w:eastAsia="zh-CN"/>
        </w:rPr>
        <w:t>资产</w:t>
      </w:r>
      <w:r>
        <w:rPr>
          <w:rFonts w:hint="eastAsia" w:ascii="仿宋_GB2312" w:hAnsi="仿宋_GB2312" w:eastAsia="仿宋_GB2312" w:cs="仿宋_GB2312"/>
          <w:sz w:val="32"/>
          <w:szCs w:val="32"/>
          <w:lang w:eastAsia="zh-Hans"/>
        </w:rPr>
        <w:t>，</w:t>
      </w:r>
      <w:r>
        <w:rPr>
          <w:rFonts w:hint="eastAsia" w:ascii="仿宋_GB2312" w:hAnsi="仿宋_GB2312" w:eastAsia="仿宋_GB2312" w:cs="仿宋_GB2312"/>
          <w:sz w:val="32"/>
          <w:szCs w:val="32"/>
          <w:lang w:val="en-US" w:eastAsia="zh-Hans"/>
        </w:rPr>
        <w:t>乙方已支付的费用不予退还并有权要求乙方按照</w:t>
      </w:r>
      <w:r>
        <w:rPr>
          <w:rFonts w:hint="eastAsia" w:ascii="仿宋_GB2312" w:hAnsi="仿宋_GB2312" w:eastAsia="仿宋_GB2312" w:cs="仿宋_GB2312"/>
          <w:sz w:val="32"/>
          <w:szCs w:val="32"/>
          <w:lang w:val="en-US" w:eastAsia="zh-CN"/>
        </w:rPr>
        <w:t>第二年全部资产</w:t>
      </w:r>
      <w:r>
        <w:rPr>
          <w:rFonts w:hint="eastAsia" w:ascii="仿宋_GB2312" w:hAnsi="仿宋_GB2312" w:eastAsia="仿宋_GB2312" w:cs="仿宋_GB2312"/>
          <w:sz w:val="32"/>
          <w:szCs w:val="32"/>
          <w:lang w:val="en-US" w:eastAsia="zh-Hans"/>
        </w:rPr>
        <w:t>保底</w:t>
      </w:r>
      <w:r>
        <w:rPr>
          <w:rFonts w:hint="eastAsia" w:ascii="仿宋_GB2312" w:hAnsi="仿宋_GB2312" w:eastAsia="仿宋_GB2312" w:cs="仿宋_GB2312"/>
          <w:sz w:val="32"/>
          <w:szCs w:val="32"/>
          <w:lang w:val="en-US" w:eastAsia="zh-CN"/>
        </w:rPr>
        <w:t>收益</w:t>
      </w:r>
      <w:r>
        <w:rPr>
          <w:rFonts w:hint="eastAsia" w:ascii="仿宋_GB2312" w:hAnsi="仿宋_GB2312" w:eastAsia="仿宋_GB2312" w:cs="仿宋_GB2312"/>
          <w:sz w:val="32"/>
          <w:szCs w:val="32"/>
          <w:lang w:val="en-US" w:eastAsia="zh-Hans"/>
        </w:rPr>
        <w:t>总额的</w:t>
      </w:r>
      <w:r>
        <w:rPr>
          <w:rFonts w:hint="eastAsia" w:ascii="仿宋_GB2312" w:hAnsi="仿宋_GB2312" w:eastAsia="仿宋_GB2312" w:cs="仿宋_GB2312"/>
          <w:sz w:val="32"/>
          <w:szCs w:val="32"/>
          <w:lang w:eastAsia="zh-Hans"/>
        </w:rPr>
        <w:t>【</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lang w:eastAsia="zh-Hans"/>
        </w:rPr>
        <w:t>】%</w:t>
      </w:r>
      <w:r>
        <w:rPr>
          <w:rFonts w:hint="eastAsia" w:ascii="仿宋_GB2312" w:hAnsi="仿宋_GB2312" w:eastAsia="仿宋_GB2312" w:cs="仿宋_GB2312"/>
          <w:sz w:val="32"/>
          <w:szCs w:val="32"/>
          <w:lang w:val="en-US" w:eastAsia="zh-Hans"/>
        </w:rPr>
        <w:t>向甲方支付违约金</w:t>
      </w:r>
      <w:r>
        <w:rPr>
          <w:rFonts w:hint="eastAsia" w:ascii="仿宋_GB2312" w:hAnsi="仿宋_GB2312" w:eastAsia="仿宋_GB2312" w:cs="仿宋_GB2312"/>
          <w:sz w:val="32"/>
          <w:szCs w:val="32"/>
          <w:lang w:eastAsia="zh-Hans"/>
        </w:rPr>
        <w:t>，</w:t>
      </w:r>
      <w:r>
        <w:rPr>
          <w:rFonts w:hint="eastAsia" w:ascii="仿宋_GB2312" w:hAnsi="仿宋_GB2312" w:eastAsia="仿宋_GB2312" w:cs="仿宋_GB2312"/>
          <w:sz w:val="32"/>
          <w:szCs w:val="32"/>
          <w:lang w:val="en-US" w:eastAsia="zh-Hans"/>
        </w:rPr>
        <w:t>违约金不足以弥补甲方损失的</w:t>
      </w:r>
      <w:r>
        <w:rPr>
          <w:rFonts w:hint="eastAsia" w:ascii="仿宋_GB2312" w:hAnsi="仿宋_GB2312" w:eastAsia="仿宋_GB2312" w:cs="仿宋_GB2312"/>
          <w:sz w:val="32"/>
          <w:szCs w:val="32"/>
          <w:lang w:eastAsia="zh-Hans"/>
        </w:rPr>
        <w:t>，</w:t>
      </w:r>
      <w:r>
        <w:rPr>
          <w:rFonts w:hint="eastAsia" w:ascii="仿宋_GB2312" w:hAnsi="仿宋_GB2312" w:eastAsia="仿宋_GB2312" w:cs="仿宋_GB2312"/>
          <w:sz w:val="32"/>
          <w:szCs w:val="32"/>
          <w:lang w:val="en-US" w:eastAsia="zh-Hans"/>
        </w:rPr>
        <w:t>乙方还应承担损害赔偿责任</w:t>
      </w:r>
      <w:r>
        <w:rPr>
          <w:rFonts w:hint="eastAsia" w:ascii="仿宋_GB2312" w:hAnsi="仿宋_GB2312" w:eastAsia="仿宋_GB2312" w:cs="仿宋_GB2312"/>
          <w:sz w:val="32"/>
          <w:szCs w:val="32"/>
          <w:lang w:eastAsia="zh-Hans"/>
        </w:rPr>
        <w:t>。</w:t>
      </w:r>
    </w:p>
    <w:p w14:paraId="3ED0A654">
      <w:pPr>
        <w:numPr>
          <w:ilvl w:val="-1"/>
          <w:numId w:val="0"/>
        </w:numPr>
        <w:spacing w:line="560" w:lineRule="exact"/>
        <w:ind w:leftChars="0" w:firstLine="640" w:firstLineChars="200"/>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12.9 合作期限届满后或合同解除后，如乙方未按甲方通知日期腾退资产，每逾期一日，乙方应按照合同解除或终止时的日保底收益金额的120%（日保底收益以合同解除或终止时的年度保底收益除以365天计算）向甲方支付违约金，直至乙方履行完毕之日止。</w:t>
      </w:r>
    </w:p>
    <w:p w14:paraId="34141399">
      <w:pPr>
        <w:pStyle w:val="2"/>
        <w:spacing w:line="560" w:lineRule="exact"/>
        <w:ind w:left="0" w:leftChars="0"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12.10 如乙方违约导致本协议提前终止的，乙方已修建的建筑物、构筑物及附属设施等全部归甲方所有，甲方拒绝接受的，有权要求乙方在通知期限内拆除，乙方未按期拆除的，甲方有权自行委托第三方拆除，费用由乙方承担。</w:t>
      </w:r>
    </w:p>
    <w:p w14:paraId="6C58558E">
      <w:pPr>
        <w:numPr>
          <w:ilvl w:val="-1"/>
          <w:numId w:val="0"/>
        </w:numPr>
        <w:spacing w:line="560" w:lineRule="exact"/>
        <w:ind w:leftChars="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12.11</w:t>
      </w:r>
      <w:r>
        <w:rPr>
          <w:rFonts w:hint="eastAsia" w:ascii="仿宋_GB2312" w:hAnsi="仿宋_GB2312" w:eastAsia="仿宋_GB2312" w:cs="仿宋_GB2312"/>
          <w:color w:val="000000" w:themeColor="text1"/>
          <w:sz w:val="32"/>
          <w:szCs w:val="32"/>
          <w:highlight w:val="none"/>
          <w14:textFill>
            <w14:solidFill>
              <w14:schemeClr w14:val="tx1"/>
            </w14:solidFill>
          </w14:textFill>
        </w:rPr>
        <w:t>因本</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协议</w:t>
      </w:r>
      <w:r>
        <w:rPr>
          <w:rFonts w:hint="eastAsia" w:ascii="仿宋_GB2312" w:hAnsi="仿宋_GB2312" w:eastAsia="仿宋_GB2312" w:cs="仿宋_GB2312"/>
          <w:color w:val="000000" w:themeColor="text1"/>
          <w:sz w:val="32"/>
          <w:szCs w:val="32"/>
          <w:highlight w:val="none"/>
          <w14:textFill>
            <w14:solidFill>
              <w14:schemeClr w14:val="tx1"/>
            </w14:solidFill>
          </w14:textFill>
        </w:rPr>
        <w:t>履行产生纠纷的，由违约方承担守约方实现债权而产生的全部费用（包括但不限于律师费、诉讼费、差旅费、保全费、公告费等），该费用的承担不影响违约方承担其他违约责任或损失赔偿责任。</w:t>
      </w:r>
    </w:p>
    <w:p w14:paraId="23176B3B">
      <w:pPr>
        <w:spacing w:line="560" w:lineRule="exact"/>
        <w:ind w:firstLine="643" w:firstLineChars="200"/>
        <w:rPr>
          <w:rFonts w:hint="eastAsia" w:ascii="仿宋_GB2312" w:hAnsi="仿宋_GB2312" w:eastAsia="仿宋_GB2312" w:cs="仿宋_GB2312"/>
          <w:b/>
          <w:bCs/>
          <w:color w:val="000000" w:themeColor="text1"/>
          <w:sz w:val="32"/>
          <w:szCs w:val="32"/>
          <w:highlight w:val="none"/>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14:textFill>
            <w14:solidFill>
              <w14:schemeClr w14:val="tx1"/>
            </w14:solidFill>
          </w14:textFill>
        </w:rPr>
        <w:t>第十</w:t>
      </w:r>
      <w:r>
        <w:rPr>
          <w:rFonts w:hint="eastAsia" w:ascii="仿宋_GB2312" w:hAnsi="仿宋_GB2312" w:eastAsia="仿宋_GB2312" w:cs="仿宋_GB2312"/>
          <w:b/>
          <w:bCs/>
          <w:color w:val="000000" w:themeColor="text1"/>
          <w:sz w:val="32"/>
          <w:szCs w:val="32"/>
          <w:highlight w:val="none"/>
          <w:lang w:val="en-US" w:eastAsia="zh-CN"/>
          <w14:textFill>
            <w14:solidFill>
              <w14:schemeClr w14:val="tx1"/>
            </w14:solidFill>
          </w14:textFill>
        </w:rPr>
        <w:t>三</w:t>
      </w:r>
      <w:r>
        <w:rPr>
          <w:rFonts w:hint="eastAsia" w:ascii="仿宋_GB2312" w:hAnsi="仿宋_GB2312" w:eastAsia="仿宋_GB2312" w:cs="仿宋_GB2312"/>
          <w:b/>
          <w:bCs/>
          <w:color w:val="000000" w:themeColor="text1"/>
          <w:sz w:val="32"/>
          <w:szCs w:val="32"/>
          <w:highlight w:val="none"/>
          <w14:textFill>
            <w14:solidFill>
              <w14:schemeClr w14:val="tx1"/>
            </w14:solidFill>
          </w14:textFill>
        </w:rPr>
        <w:t>条 保密条款</w:t>
      </w:r>
    </w:p>
    <w:p w14:paraId="3DD97E6B">
      <w:pPr>
        <w:numPr>
          <w:ilvl w:val="-1"/>
          <w:numId w:val="0"/>
        </w:numPr>
        <w:spacing w:line="560" w:lineRule="exact"/>
        <w:ind w:leftChars="0" w:firstLine="640" w:firstLineChars="200"/>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 xml:space="preserve">13.1 </w:t>
      </w:r>
      <w:r>
        <w:rPr>
          <w:rFonts w:hint="eastAsia" w:ascii="仿宋_GB2312" w:hAnsi="仿宋_GB2312" w:eastAsia="仿宋_GB2312" w:cs="仿宋_GB2312"/>
          <w:color w:val="000000" w:themeColor="text1"/>
          <w:sz w:val="32"/>
          <w:szCs w:val="32"/>
          <w:highlight w:val="none"/>
          <w14:textFill>
            <w14:solidFill>
              <w14:schemeClr w14:val="tx1"/>
            </w14:solidFill>
          </w14:textFill>
        </w:rPr>
        <w:t>甲乙双方均应对双方的合作内容及有关数据和资料负永久保密义务，不得提供、透露予任何第三人或许可第三人使用，亦不得将相关资料用于本合作项目以外的任何用途。双方并应负管理的责任使其全体雇用人员或其他执行本协议相关业务的人员，均遵守此项保密义务，如有违约情形，由违约方承担由此造成的损失。在本条中，“第三方”是指任何自然人、企业或其分支机构、代理、组织或其他实体，但不包括关联公司。关联公司包括但不限于双方的子公司、分公司、以及上述公司的权利义务继受人等。</w:t>
      </w:r>
    </w:p>
    <w:p w14:paraId="5073674D">
      <w:pPr>
        <w:numPr>
          <w:ilvl w:val="-1"/>
          <w:numId w:val="0"/>
        </w:numPr>
        <w:spacing w:line="560" w:lineRule="exact"/>
        <w:ind w:firstLine="640" w:firstLineChars="200"/>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 xml:space="preserve">13.2 </w:t>
      </w:r>
      <w:r>
        <w:rPr>
          <w:rFonts w:hint="eastAsia" w:ascii="仿宋_GB2312" w:hAnsi="仿宋_GB2312" w:eastAsia="仿宋_GB2312" w:cs="仿宋_GB2312"/>
          <w:color w:val="000000" w:themeColor="text1"/>
          <w:sz w:val="32"/>
          <w:szCs w:val="32"/>
          <w:highlight w:val="none"/>
          <w14:textFill>
            <w14:solidFill>
              <w14:schemeClr w14:val="tx1"/>
            </w14:solidFill>
          </w14:textFill>
        </w:rPr>
        <w:t>本</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协议</w:t>
      </w:r>
      <w:r>
        <w:rPr>
          <w:rFonts w:hint="eastAsia" w:ascii="仿宋_GB2312" w:hAnsi="仿宋_GB2312" w:eastAsia="仿宋_GB2312" w:cs="仿宋_GB2312"/>
          <w:color w:val="000000" w:themeColor="text1"/>
          <w:sz w:val="32"/>
          <w:szCs w:val="32"/>
          <w:highlight w:val="none"/>
          <w14:textFill>
            <w14:solidFill>
              <w14:schemeClr w14:val="tx1"/>
            </w14:solidFill>
          </w14:textFill>
        </w:rPr>
        <w:t>项下双方的保密责任不因本</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协议</w:t>
      </w:r>
      <w:r>
        <w:rPr>
          <w:rFonts w:hint="eastAsia" w:ascii="仿宋_GB2312" w:hAnsi="仿宋_GB2312" w:eastAsia="仿宋_GB2312" w:cs="仿宋_GB2312"/>
          <w:color w:val="000000" w:themeColor="text1"/>
          <w:sz w:val="32"/>
          <w:szCs w:val="32"/>
          <w:highlight w:val="none"/>
          <w14:textFill>
            <w14:solidFill>
              <w14:schemeClr w14:val="tx1"/>
            </w14:solidFill>
          </w14:textFill>
        </w:rPr>
        <w:t>无效、解除、终止等情形而消灭。如一方违反本</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协议</w:t>
      </w:r>
      <w:r>
        <w:rPr>
          <w:rFonts w:hint="eastAsia" w:ascii="仿宋_GB2312" w:hAnsi="仿宋_GB2312" w:eastAsia="仿宋_GB2312" w:cs="仿宋_GB2312"/>
          <w:color w:val="000000" w:themeColor="text1"/>
          <w:sz w:val="32"/>
          <w:szCs w:val="32"/>
          <w:highlight w:val="none"/>
          <w14:textFill>
            <w14:solidFill>
              <w14:schemeClr w14:val="tx1"/>
            </w14:solidFill>
          </w14:textFill>
        </w:rPr>
        <w:t>关于保密的约定造成保密信息披露方损失的，违约方应当赔偿因此给信息披露方造成的全部损失，并承担相应的法律责任。无论故意或过失，应当立即停止侵害，并在第一时间采取一切必要的措施防止保密信息的扩大，尽最大的可能消除影响。</w:t>
      </w:r>
    </w:p>
    <w:p w14:paraId="4C04F1D3">
      <w:pPr>
        <w:spacing w:line="560" w:lineRule="exact"/>
        <w:ind w:firstLine="643" w:firstLineChars="200"/>
        <w:rPr>
          <w:rFonts w:hint="eastAsia" w:ascii="仿宋_GB2312" w:hAnsi="仿宋_GB2312" w:eastAsia="仿宋_GB2312" w:cs="仿宋_GB2312"/>
          <w:b/>
          <w:bCs/>
          <w:color w:val="000000" w:themeColor="text1"/>
          <w:sz w:val="32"/>
          <w:szCs w:val="32"/>
          <w:highlight w:val="none"/>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14:textFill>
            <w14:solidFill>
              <w14:schemeClr w14:val="tx1"/>
            </w14:solidFill>
          </w14:textFill>
        </w:rPr>
        <w:t>第十</w:t>
      </w:r>
      <w:r>
        <w:rPr>
          <w:rFonts w:hint="eastAsia" w:ascii="仿宋_GB2312" w:hAnsi="仿宋_GB2312" w:eastAsia="仿宋_GB2312" w:cs="仿宋_GB2312"/>
          <w:b/>
          <w:bCs/>
          <w:color w:val="000000" w:themeColor="text1"/>
          <w:sz w:val="32"/>
          <w:szCs w:val="32"/>
          <w:highlight w:val="none"/>
          <w:lang w:val="en-US" w:eastAsia="zh-CN"/>
          <w14:textFill>
            <w14:solidFill>
              <w14:schemeClr w14:val="tx1"/>
            </w14:solidFill>
          </w14:textFill>
        </w:rPr>
        <w:t>四</w:t>
      </w:r>
      <w:r>
        <w:rPr>
          <w:rFonts w:hint="eastAsia" w:ascii="仿宋_GB2312" w:hAnsi="仿宋_GB2312" w:eastAsia="仿宋_GB2312" w:cs="仿宋_GB2312"/>
          <w:b/>
          <w:bCs/>
          <w:color w:val="000000" w:themeColor="text1"/>
          <w:sz w:val="32"/>
          <w:szCs w:val="32"/>
          <w:highlight w:val="none"/>
          <w14:textFill>
            <w14:solidFill>
              <w14:schemeClr w14:val="tx1"/>
            </w14:solidFill>
          </w14:textFill>
        </w:rPr>
        <w:t>条 免责条款</w:t>
      </w:r>
    </w:p>
    <w:p w14:paraId="09525F19">
      <w:pPr>
        <w:numPr>
          <w:ilvl w:val="-1"/>
          <w:numId w:val="0"/>
        </w:numPr>
        <w:spacing w:line="560" w:lineRule="exact"/>
        <w:ind w:firstLine="640" w:firstLineChars="200"/>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14.1 合作期限内，</w:t>
      </w:r>
      <w:r>
        <w:rPr>
          <w:rFonts w:hint="eastAsia" w:ascii="仿宋_GB2312" w:hAnsi="仿宋_GB2312" w:eastAsia="仿宋_GB2312" w:cs="仿宋_GB2312"/>
          <w:color w:val="000000" w:themeColor="text1"/>
          <w:sz w:val="32"/>
          <w:szCs w:val="32"/>
          <w:highlight w:val="none"/>
          <w14:textFill>
            <w14:solidFill>
              <w14:schemeClr w14:val="tx1"/>
            </w14:solidFill>
          </w14:textFill>
        </w:rPr>
        <w:t>因不可抗力原因致使本</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协议</w:t>
      </w:r>
      <w:r>
        <w:rPr>
          <w:rFonts w:hint="eastAsia" w:ascii="仿宋_GB2312" w:hAnsi="仿宋_GB2312" w:eastAsia="仿宋_GB2312" w:cs="仿宋_GB2312"/>
          <w:color w:val="000000" w:themeColor="text1"/>
          <w:sz w:val="32"/>
          <w:szCs w:val="32"/>
          <w:highlight w:val="none"/>
          <w14:textFill>
            <w14:solidFill>
              <w14:schemeClr w14:val="tx1"/>
            </w14:solidFill>
          </w14:textFill>
        </w:rPr>
        <w:t>不能继续履行，不可抗力发生后，应当及时通知对方，以减轻可能给对方造成的损失，并应当在合理期限内提供证明。</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此种情况下</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协议</w:t>
      </w:r>
      <w:r>
        <w:rPr>
          <w:rFonts w:hint="eastAsia" w:ascii="仿宋_GB2312" w:hAnsi="仿宋_GB2312" w:eastAsia="仿宋_GB2312" w:cs="仿宋_GB2312"/>
          <w:color w:val="000000" w:themeColor="text1"/>
          <w:sz w:val="32"/>
          <w:szCs w:val="32"/>
          <w:highlight w:val="none"/>
          <w14:textFill>
            <w14:solidFill>
              <w14:schemeClr w14:val="tx1"/>
            </w14:solidFill>
          </w14:textFill>
        </w:rPr>
        <w:t>任何一方可根据需要解除本</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协议</w:t>
      </w:r>
      <w:r>
        <w:rPr>
          <w:rFonts w:hint="eastAsia" w:ascii="仿宋_GB2312" w:hAnsi="仿宋_GB2312" w:eastAsia="仿宋_GB2312" w:cs="仿宋_GB2312"/>
          <w:color w:val="000000" w:themeColor="text1"/>
          <w:sz w:val="32"/>
          <w:szCs w:val="32"/>
          <w:highlight w:val="none"/>
          <w14:textFill>
            <w14:solidFill>
              <w14:schemeClr w14:val="tx1"/>
            </w14:solidFill>
          </w14:textFill>
        </w:rPr>
        <w:t>，双方互不承担</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违约</w:t>
      </w:r>
      <w:r>
        <w:rPr>
          <w:rFonts w:hint="eastAsia" w:ascii="仿宋_GB2312" w:hAnsi="仿宋_GB2312" w:eastAsia="仿宋_GB2312" w:cs="仿宋_GB2312"/>
          <w:color w:val="000000" w:themeColor="text1"/>
          <w:sz w:val="32"/>
          <w:szCs w:val="32"/>
          <w:highlight w:val="none"/>
          <w14:textFill>
            <w14:solidFill>
              <w14:schemeClr w14:val="tx1"/>
            </w14:solidFill>
          </w14:textFill>
        </w:rPr>
        <w:t>责任</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14:textFill>
            <w14:solidFill>
              <w14:schemeClr w14:val="tx1"/>
            </w14:solidFill>
          </w14:textFill>
        </w:rPr>
        <w:t>迟延履行通知义务造成损失扩大的，应就扩大的损失向对方承担赔偿责任。</w:t>
      </w:r>
    </w:p>
    <w:p w14:paraId="700EA56A">
      <w:pPr>
        <w:numPr>
          <w:ilvl w:val="-1"/>
          <w:numId w:val="0"/>
        </w:num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14.2 合作期限内，本协议所约定的</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资产</w:t>
      </w:r>
      <w:r>
        <w:rPr>
          <w:rFonts w:hint="eastAsia" w:ascii="仿宋_GB2312" w:hAnsi="仿宋_GB2312" w:eastAsia="仿宋_GB2312" w:cs="仿宋_GB2312"/>
          <w:color w:val="000000" w:themeColor="text1"/>
          <w:sz w:val="32"/>
          <w:szCs w:val="32"/>
          <w:highlight w:val="none"/>
          <w14:textFill>
            <w14:solidFill>
              <w14:schemeClr w14:val="tx1"/>
            </w14:solidFill>
          </w14:textFill>
        </w:rPr>
        <w:t>因国家、地方政府</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依法</w:t>
      </w:r>
      <w:r>
        <w:rPr>
          <w:rFonts w:hint="eastAsia" w:ascii="仿宋_GB2312" w:hAnsi="仿宋_GB2312" w:eastAsia="仿宋_GB2312" w:cs="仿宋_GB2312"/>
          <w:color w:val="auto"/>
          <w:sz w:val="32"/>
          <w:szCs w:val="32"/>
          <w:highlight w:val="none"/>
          <w:lang w:val="en-US" w:eastAsia="zh-CN"/>
        </w:rPr>
        <w:t>收储、征收、占用、</w:t>
      </w:r>
      <w:r>
        <w:rPr>
          <w:rFonts w:hint="eastAsia" w:ascii="仿宋_GB2312" w:hAnsi="仿宋_GB2312" w:eastAsia="仿宋_GB2312" w:cs="仿宋_GB2312"/>
          <w:color w:val="auto"/>
          <w:sz w:val="32"/>
          <w:szCs w:val="32"/>
          <w:highlight w:val="none"/>
        </w:rPr>
        <w:t>拆除或改造的，</w:t>
      </w:r>
      <w:r>
        <w:rPr>
          <w:rFonts w:hint="eastAsia" w:ascii="仿宋_GB2312" w:hAnsi="仿宋_GB2312" w:eastAsia="仿宋_GB2312" w:cs="仿宋_GB2312"/>
          <w:color w:val="auto"/>
          <w:sz w:val="32"/>
          <w:szCs w:val="32"/>
          <w:highlight w:val="none"/>
          <w:lang w:val="en-US" w:eastAsia="zh-CN"/>
        </w:rPr>
        <w:t>此种情形下</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乙方</w:t>
      </w:r>
      <w:r>
        <w:rPr>
          <w:rFonts w:hint="eastAsia" w:ascii="仿宋_GB2312" w:hAnsi="仿宋_GB2312" w:eastAsia="仿宋_GB2312" w:cs="仿宋_GB2312"/>
          <w:color w:val="auto"/>
          <w:sz w:val="32"/>
          <w:szCs w:val="32"/>
          <w:highlight w:val="none"/>
          <w:lang w:val="en-US" w:eastAsia="zh-CN"/>
        </w:rPr>
        <w:t>享有停产停业损失的</w:t>
      </w:r>
      <w:r>
        <w:rPr>
          <w:rFonts w:hint="eastAsia" w:ascii="仿宋_GB2312" w:hAnsi="仿宋_GB2312" w:eastAsia="仿宋_GB2312" w:cs="仿宋_GB2312"/>
          <w:color w:val="auto"/>
          <w:sz w:val="32"/>
          <w:szCs w:val="32"/>
          <w:highlight w:val="none"/>
        </w:rPr>
        <w:t>征收补偿款项权利，</w:t>
      </w:r>
      <w:r>
        <w:rPr>
          <w:rFonts w:hint="eastAsia" w:ascii="仿宋_GB2312" w:hAnsi="仿宋_GB2312" w:eastAsia="仿宋_GB2312" w:cs="仿宋_GB2312"/>
          <w:color w:val="auto"/>
          <w:sz w:val="32"/>
          <w:szCs w:val="32"/>
          <w:highlight w:val="none"/>
          <w:lang w:val="en-US" w:eastAsia="zh-CN"/>
        </w:rPr>
        <w:t>资产附着物</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搬迁及临时安置补偿等其他的征收补偿款项由甲方作为申领主体，并按照合作年限比例进行分配（如第6年发生所述情况，甲方享受补偿款的60%，乙方享受补偿款的40%）</w:t>
      </w:r>
      <w:r>
        <w:rPr>
          <w:rFonts w:hint="eastAsia" w:ascii="仿宋_GB2312" w:hAnsi="仿宋_GB2312" w:eastAsia="仿宋_GB2312" w:cs="仿宋_GB2312"/>
          <w:color w:val="auto"/>
          <w:sz w:val="32"/>
          <w:szCs w:val="32"/>
          <w:highlight w:val="none"/>
        </w:rPr>
        <w:t>。</w:t>
      </w:r>
    </w:p>
    <w:p w14:paraId="425ED369">
      <w:pPr>
        <w:numPr>
          <w:ilvl w:val="-1"/>
          <w:numId w:val="0"/>
        </w:numPr>
        <w:spacing w:line="560" w:lineRule="exact"/>
        <w:ind w:firstLine="640" w:firstLineChars="200"/>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14.3 合作期限内，合作资产及附属建筑物构筑物因不可抗力因素被国家、地方政府依法收储、征用、占用、拆除或改造的，协议任何一方均有权解除本协议，由此造成各方损失的，双方及双方关联单位互不承担责任。</w:t>
      </w:r>
    </w:p>
    <w:p w14:paraId="43630703">
      <w:pPr>
        <w:numPr>
          <w:ilvl w:val="-1"/>
          <w:numId w:val="0"/>
        </w:numPr>
        <w:spacing w:line="560" w:lineRule="exact"/>
        <w:ind w:leftChars="0" w:firstLine="640" w:firstLineChars="200"/>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 xml:space="preserve">14.4 </w:t>
      </w:r>
      <w:r>
        <w:rPr>
          <w:rFonts w:hint="eastAsia" w:ascii="仿宋_GB2312" w:hAnsi="仿宋_GB2312" w:eastAsia="仿宋_GB2312" w:cs="仿宋_GB2312"/>
          <w:color w:val="000000" w:themeColor="text1"/>
          <w:sz w:val="32"/>
          <w:szCs w:val="32"/>
          <w:highlight w:val="none"/>
          <w14:textFill>
            <w14:solidFill>
              <w14:schemeClr w14:val="tx1"/>
            </w14:solidFill>
          </w14:textFill>
        </w:rPr>
        <w:t>如遇国家法律、法规或政策变化，致使本协议的全部或部分条款不再符合国家法律、法规或政策的要求，双方应及时协商，尽快修改有关条款。</w:t>
      </w:r>
    </w:p>
    <w:p w14:paraId="32E9E57A">
      <w:pPr>
        <w:spacing w:line="560" w:lineRule="exact"/>
        <w:ind w:firstLine="643" w:firstLineChars="200"/>
        <w:rPr>
          <w:rFonts w:hint="eastAsia" w:ascii="仿宋_GB2312" w:hAnsi="仿宋_GB2312" w:eastAsia="仿宋_GB2312" w:cs="仿宋_GB2312"/>
          <w:b/>
          <w:bCs/>
          <w:color w:val="000000" w:themeColor="text1"/>
          <w:sz w:val="32"/>
          <w:szCs w:val="32"/>
          <w:highlight w:val="none"/>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14:textFill>
            <w14:solidFill>
              <w14:schemeClr w14:val="tx1"/>
            </w14:solidFill>
          </w14:textFill>
        </w:rPr>
        <w:t>第十</w:t>
      </w:r>
      <w:r>
        <w:rPr>
          <w:rFonts w:hint="eastAsia" w:ascii="仿宋_GB2312" w:hAnsi="仿宋_GB2312" w:eastAsia="仿宋_GB2312" w:cs="仿宋_GB2312"/>
          <w:b/>
          <w:bCs/>
          <w:color w:val="000000" w:themeColor="text1"/>
          <w:sz w:val="32"/>
          <w:szCs w:val="32"/>
          <w:highlight w:val="none"/>
          <w:lang w:val="en-US" w:eastAsia="zh-CN"/>
          <w14:textFill>
            <w14:solidFill>
              <w14:schemeClr w14:val="tx1"/>
            </w14:solidFill>
          </w14:textFill>
        </w:rPr>
        <w:t>五</w:t>
      </w:r>
      <w:r>
        <w:rPr>
          <w:rFonts w:hint="eastAsia" w:ascii="仿宋_GB2312" w:hAnsi="仿宋_GB2312" w:eastAsia="仿宋_GB2312" w:cs="仿宋_GB2312"/>
          <w:b/>
          <w:bCs/>
          <w:color w:val="000000" w:themeColor="text1"/>
          <w:sz w:val="32"/>
          <w:szCs w:val="32"/>
          <w:highlight w:val="none"/>
          <w14:textFill>
            <w14:solidFill>
              <w14:schemeClr w14:val="tx1"/>
            </w14:solidFill>
          </w14:textFill>
        </w:rPr>
        <w:t>条 争议解决</w:t>
      </w:r>
    </w:p>
    <w:p w14:paraId="208DA984">
      <w:pPr>
        <w:spacing w:line="560" w:lineRule="exact"/>
        <w:ind w:firstLine="640" w:firstLineChars="200"/>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本</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协议</w:t>
      </w:r>
      <w:r>
        <w:rPr>
          <w:rFonts w:hint="eastAsia" w:ascii="仿宋_GB2312" w:hAnsi="仿宋_GB2312" w:eastAsia="仿宋_GB2312" w:cs="仿宋_GB2312"/>
          <w:color w:val="000000" w:themeColor="text1"/>
          <w:sz w:val="32"/>
          <w:szCs w:val="32"/>
          <w:highlight w:val="none"/>
          <w14:textFill>
            <w14:solidFill>
              <w14:schemeClr w14:val="tx1"/>
            </w14:solidFill>
          </w14:textFill>
        </w:rPr>
        <w:t>在履行中如发生争议，双方应协商解决；协商不成时，任何一方有权向</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贵阳仲裁委员会申请仲裁</w:t>
      </w:r>
      <w:r>
        <w:rPr>
          <w:rFonts w:hint="eastAsia" w:ascii="仿宋_GB2312" w:hAnsi="仿宋_GB2312" w:eastAsia="仿宋_GB2312" w:cs="仿宋_GB2312"/>
          <w:color w:val="000000" w:themeColor="text1"/>
          <w:sz w:val="32"/>
          <w:szCs w:val="32"/>
          <w:highlight w:val="none"/>
          <w14:textFill>
            <w14:solidFill>
              <w14:schemeClr w14:val="tx1"/>
            </w14:solidFill>
          </w14:textFill>
        </w:rPr>
        <w:t>。</w:t>
      </w:r>
    </w:p>
    <w:p w14:paraId="502B12EA">
      <w:pPr>
        <w:spacing w:line="560" w:lineRule="exact"/>
        <w:ind w:firstLine="643" w:firstLineChars="200"/>
        <w:rPr>
          <w:rFonts w:hint="eastAsia" w:ascii="仿宋_GB2312" w:hAnsi="仿宋_GB2312" w:eastAsia="仿宋_GB2312" w:cs="仿宋_GB2312"/>
          <w:b/>
          <w:bCs/>
          <w:color w:val="000000" w:themeColor="text1"/>
          <w:sz w:val="32"/>
          <w:szCs w:val="32"/>
          <w:highlight w:val="none"/>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14:textFill>
            <w14:solidFill>
              <w14:schemeClr w14:val="tx1"/>
            </w14:solidFill>
          </w14:textFill>
        </w:rPr>
        <w:t>第十</w:t>
      </w:r>
      <w:r>
        <w:rPr>
          <w:rFonts w:hint="eastAsia" w:ascii="仿宋_GB2312" w:hAnsi="仿宋_GB2312" w:eastAsia="仿宋_GB2312" w:cs="仿宋_GB2312"/>
          <w:b/>
          <w:bCs/>
          <w:color w:val="000000" w:themeColor="text1"/>
          <w:sz w:val="32"/>
          <w:szCs w:val="32"/>
          <w:highlight w:val="none"/>
          <w:lang w:val="en-US" w:eastAsia="zh-CN"/>
          <w14:textFill>
            <w14:solidFill>
              <w14:schemeClr w14:val="tx1"/>
            </w14:solidFill>
          </w14:textFill>
        </w:rPr>
        <w:t>六</w:t>
      </w:r>
      <w:r>
        <w:rPr>
          <w:rFonts w:hint="eastAsia" w:ascii="仿宋_GB2312" w:hAnsi="仿宋_GB2312" w:eastAsia="仿宋_GB2312" w:cs="仿宋_GB2312"/>
          <w:b/>
          <w:bCs/>
          <w:color w:val="000000" w:themeColor="text1"/>
          <w:sz w:val="32"/>
          <w:szCs w:val="32"/>
          <w:highlight w:val="none"/>
          <w14:textFill>
            <w14:solidFill>
              <w14:schemeClr w14:val="tx1"/>
            </w14:solidFill>
          </w14:textFill>
        </w:rPr>
        <w:t>条 送达</w:t>
      </w:r>
    </w:p>
    <w:p w14:paraId="659685EC">
      <w:pPr>
        <w:numPr>
          <w:ilvl w:val="-1"/>
          <w:numId w:val="0"/>
        </w:numPr>
        <w:spacing w:line="560" w:lineRule="exact"/>
        <w:ind w:leftChars="0" w:firstLine="640" w:firstLineChars="200"/>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 xml:space="preserve">16.1 </w:t>
      </w:r>
      <w:r>
        <w:rPr>
          <w:rFonts w:hint="eastAsia" w:ascii="仿宋_GB2312" w:hAnsi="仿宋_GB2312" w:eastAsia="仿宋_GB2312" w:cs="仿宋_GB2312"/>
          <w:color w:val="000000" w:themeColor="text1"/>
          <w:sz w:val="32"/>
          <w:szCs w:val="32"/>
          <w:highlight w:val="none"/>
          <w14:textFill>
            <w14:solidFill>
              <w14:schemeClr w14:val="tx1"/>
            </w14:solidFill>
          </w14:textFill>
        </w:rPr>
        <w:t>甲乙双方确认，因履行本</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协议</w:t>
      </w:r>
      <w:r>
        <w:rPr>
          <w:rFonts w:hint="eastAsia" w:ascii="仿宋_GB2312" w:hAnsi="仿宋_GB2312" w:eastAsia="仿宋_GB2312" w:cs="仿宋_GB2312"/>
          <w:color w:val="000000" w:themeColor="text1"/>
          <w:sz w:val="32"/>
          <w:szCs w:val="32"/>
          <w:highlight w:val="none"/>
          <w14:textFill>
            <w14:solidFill>
              <w14:schemeClr w14:val="tx1"/>
            </w14:solidFill>
          </w14:textFill>
        </w:rPr>
        <w:t>的往来函件（包括但不限于律师函、告知书）及司法文书（包括但不限于传票、开庭通知书等）的送达地址和送达方式如下：</w:t>
      </w:r>
    </w:p>
    <w:p w14:paraId="27B69F50">
      <w:pPr>
        <w:spacing w:line="560" w:lineRule="exact"/>
        <w:ind w:firstLine="640" w:firstLineChars="200"/>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（1）甲方</w:t>
      </w:r>
    </w:p>
    <w:p w14:paraId="122B6CC4">
      <w:pPr>
        <w:spacing w:line="560" w:lineRule="exact"/>
        <w:ind w:firstLine="640" w:firstLineChars="200"/>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地址：贵州省贵阳市观山湖区诚信北路富力中心A1栋11楼</w:t>
      </w:r>
    </w:p>
    <w:p w14:paraId="2E76358E">
      <w:pPr>
        <w:spacing w:line="560" w:lineRule="exact"/>
        <w:ind w:firstLine="640" w:firstLineChars="200"/>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 xml:space="preserve">电子邮箱：                                           </w:t>
      </w:r>
    </w:p>
    <w:p w14:paraId="2BBB9621">
      <w:pPr>
        <w:spacing w:line="560" w:lineRule="exact"/>
        <w:ind w:firstLine="640" w:firstLineChars="200"/>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 xml:space="preserve">联系电话/手机：0851-85578966                         </w:t>
      </w:r>
    </w:p>
    <w:p w14:paraId="35E221FE">
      <w:pPr>
        <w:spacing w:line="560" w:lineRule="exact"/>
        <w:ind w:firstLine="640" w:firstLineChars="200"/>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 xml:space="preserve">（2）乙方 </w:t>
      </w:r>
    </w:p>
    <w:p w14:paraId="2F45BBBA">
      <w:pPr>
        <w:spacing w:line="560" w:lineRule="exact"/>
        <w:ind w:firstLine="640" w:firstLineChars="200"/>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 xml:space="preserve">地址：                                               </w:t>
      </w:r>
    </w:p>
    <w:p w14:paraId="129D77A3">
      <w:pPr>
        <w:spacing w:line="560" w:lineRule="exact"/>
        <w:ind w:firstLine="640" w:firstLineChars="200"/>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 xml:space="preserve">电子邮箱：                                           </w:t>
      </w:r>
    </w:p>
    <w:p w14:paraId="5453624B">
      <w:pPr>
        <w:spacing w:line="560" w:lineRule="exact"/>
        <w:ind w:firstLine="640" w:firstLineChars="200"/>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 xml:space="preserve">联系电话/手机：                                   </w:t>
      </w:r>
    </w:p>
    <w:p w14:paraId="02C69916">
      <w:pPr>
        <w:numPr>
          <w:ilvl w:val="-1"/>
          <w:numId w:val="0"/>
        </w:numPr>
        <w:spacing w:line="560" w:lineRule="exact"/>
        <w:ind w:leftChars="200" w:firstLine="0" w:firstLineChars="0"/>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 xml:space="preserve">16.2 </w:t>
      </w:r>
      <w:r>
        <w:rPr>
          <w:rFonts w:hint="eastAsia" w:ascii="仿宋_GB2312" w:hAnsi="仿宋_GB2312" w:eastAsia="仿宋_GB2312" w:cs="仿宋_GB2312"/>
          <w:color w:val="000000" w:themeColor="text1"/>
          <w:sz w:val="32"/>
          <w:szCs w:val="32"/>
          <w:highlight w:val="none"/>
          <w14:textFill>
            <w14:solidFill>
              <w14:schemeClr w14:val="tx1"/>
            </w14:solidFill>
          </w14:textFill>
        </w:rPr>
        <w:t>送达方式：</w:t>
      </w:r>
    </w:p>
    <w:p w14:paraId="515A7512">
      <w:pPr>
        <w:spacing w:line="560" w:lineRule="exact"/>
        <w:ind w:firstLine="640" w:firstLineChars="200"/>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（1）由专人递送的，收件方签收视为送达（收件方拒收的，于拒收日视为送达）；</w:t>
      </w:r>
    </w:p>
    <w:p w14:paraId="24A182A2">
      <w:pPr>
        <w:spacing w:line="560" w:lineRule="exact"/>
        <w:ind w:firstLine="640" w:firstLineChars="200"/>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（2）采用邮寄或快递方式的，收件方签收视为送达，未签收、拒绝签收或通讯地址变更未通知的，自材料寄出之日起满7日视为送达；</w:t>
      </w:r>
    </w:p>
    <w:p w14:paraId="4CF53A2E">
      <w:pPr>
        <w:spacing w:line="560" w:lineRule="exact"/>
        <w:ind w:firstLine="640" w:firstLineChars="200"/>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（3）采用电子邮件、移动通信等即时熟悉的特定系统进行送达，甲方对应系统显示发送成功的日期为已到达乙方特定系统的日期；</w:t>
      </w:r>
    </w:p>
    <w:p w14:paraId="6E0DA957">
      <w:pPr>
        <w:spacing w:line="560" w:lineRule="exact"/>
        <w:ind w:firstLine="640" w:firstLineChars="200"/>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（4）乙方拒绝签收送达文件的情况下，甲方可在乙方</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使用</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资产</w:t>
      </w:r>
      <w:r>
        <w:rPr>
          <w:rFonts w:hint="eastAsia" w:ascii="仿宋_GB2312" w:hAnsi="仿宋_GB2312" w:eastAsia="仿宋_GB2312" w:cs="仿宋_GB2312"/>
          <w:color w:val="000000" w:themeColor="text1"/>
          <w:sz w:val="32"/>
          <w:szCs w:val="32"/>
          <w:highlight w:val="none"/>
          <w14:textFill>
            <w14:solidFill>
              <w14:schemeClr w14:val="tx1"/>
            </w14:solidFill>
          </w14:textFill>
        </w:rPr>
        <w:t>张贴公告、通知，并采取拍照方式记录张贴过程，视为甲方文件已送达乙方。</w:t>
      </w:r>
    </w:p>
    <w:p w14:paraId="77070ECC">
      <w:pPr>
        <w:spacing w:line="560" w:lineRule="exact"/>
        <w:ind w:firstLine="640" w:firstLineChars="200"/>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 xml:space="preserve">16.3 </w:t>
      </w:r>
      <w:r>
        <w:rPr>
          <w:rFonts w:hint="eastAsia" w:ascii="仿宋_GB2312" w:hAnsi="仿宋_GB2312" w:eastAsia="仿宋_GB2312" w:cs="仿宋_GB2312"/>
          <w:color w:val="000000" w:themeColor="text1"/>
          <w:sz w:val="32"/>
          <w:szCs w:val="32"/>
          <w:highlight w:val="none"/>
          <w14:textFill>
            <w14:solidFill>
              <w14:schemeClr w14:val="tx1"/>
            </w14:solidFill>
          </w14:textFill>
        </w:rPr>
        <w:t>任何一方在本条中已经确认的地址、电话、邮箱等信息发生改变时，应及时书面通知</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协议</w:t>
      </w:r>
      <w:r>
        <w:rPr>
          <w:rFonts w:hint="eastAsia" w:ascii="仿宋_GB2312" w:hAnsi="仿宋_GB2312" w:eastAsia="仿宋_GB2312" w:cs="仿宋_GB2312"/>
          <w:color w:val="000000" w:themeColor="text1"/>
          <w:sz w:val="32"/>
          <w:szCs w:val="32"/>
          <w:highlight w:val="none"/>
          <w14:textFill>
            <w14:solidFill>
              <w14:schemeClr w14:val="tx1"/>
            </w14:solidFill>
          </w14:textFill>
        </w:rPr>
        <w:t>其他各方，否则因为该地址或信息的改变导致邮件不能收到、被退回等的不利后果由改变方自己承担，其他各方仍以原确认的信息为有效送达信息。如因履行本</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协议</w:t>
      </w:r>
      <w:r>
        <w:rPr>
          <w:rFonts w:hint="eastAsia" w:ascii="仿宋_GB2312" w:hAnsi="仿宋_GB2312" w:eastAsia="仿宋_GB2312" w:cs="仿宋_GB2312"/>
          <w:color w:val="000000" w:themeColor="text1"/>
          <w:sz w:val="32"/>
          <w:szCs w:val="32"/>
          <w:highlight w:val="none"/>
          <w14:textFill>
            <w14:solidFill>
              <w14:schemeClr w14:val="tx1"/>
            </w14:solidFill>
          </w14:textFill>
        </w:rPr>
        <w:t>而发生争议产生仲裁或诉讼的，上述地址亦适用于仲裁或诉讼文书送达。</w:t>
      </w:r>
    </w:p>
    <w:p w14:paraId="44DB3C7A">
      <w:pPr>
        <w:pStyle w:val="4"/>
        <w:spacing w:line="560" w:lineRule="exact"/>
        <w:rPr>
          <w:rFonts w:hint="eastAsia" w:ascii="仿宋_GB2312" w:hAnsi="仿宋_GB2312" w:eastAsia="仿宋_GB2312" w:cs="仿宋_GB2312"/>
          <w:color w:val="000000" w:themeColor="text1"/>
          <w:sz w:val="32"/>
          <w:szCs w:val="32"/>
          <w:highlight w:val="none"/>
          <w:lang w:val="en-US" w:eastAsia="zh-Hans"/>
          <w14:textFill>
            <w14:solidFill>
              <w14:schemeClr w14:val="tx1"/>
            </w14:solidFill>
          </w14:textFill>
        </w:rPr>
      </w:pPr>
    </w:p>
    <w:p w14:paraId="34E98BB2">
      <w:pPr>
        <w:spacing w:line="560" w:lineRule="exact"/>
        <w:ind w:firstLine="643" w:firstLineChars="200"/>
        <w:rPr>
          <w:rFonts w:hint="eastAsia" w:ascii="仿宋_GB2312" w:hAnsi="仿宋_GB2312" w:eastAsia="仿宋_GB2312" w:cs="仿宋_GB2312"/>
          <w:b/>
          <w:bCs/>
          <w:color w:val="000000" w:themeColor="text1"/>
          <w:sz w:val="32"/>
          <w:szCs w:val="32"/>
          <w:highlight w:val="none"/>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14:textFill>
            <w14:solidFill>
              <w14:schemeClr w14:val="tx1"/>
            </w14:solidFill>
          </w14:textFill>
        </w:rPr>
        <w:t>第十</w:t>
      </w:r>
      <w:r>
        <w:rPr>
          <w:rFonts w:hint="eastAsia" w:ascii="仿宋_GB2312" w:hAnsi="仿宋_GB2312" w:eastAsia="仿宋_GB2312" w:cs="仿宋_GB2312"/>
          <w:b/>
          <w:bCs/>
          <w:color w:val="000000" w:themeColor="text1"/>
          <w:sz w:val="32"/>
          <w:szCs w:val="32"/>
          <w:highlight w:val="none"/>
          <w:lang w:val="en-US" w:eastAsia="zh-CN"/>
          <w14:textFill>
            <w14:solidFill>
              <w14:schemeClr w14:val="tx1"/>
            </w14:solidFill>
          </w14:textFill>
        </w:rPr>
        <w:t>七</w:t>
      </w:r>
      <w:r>
        <w:rPr>
          <w:rFonts w:hint="eastAsia" w:ascii="仿宋_GB2312" w:hAnsi="仿宋_GB2312" w:eastAsia="仿宋_GB2312" w:cs="仿宋_GB2312"/>
          <w:b/>
          <w:bCs/>
          <w:color w:val="000000" w:themeColor="text1"/>
          <w:sz w:val="32"/>
          <w:szCs w:val="32"/>
          <w:highlight w:val="none"/>
          <w14:textFill>
            <w14:solidFill>
              <w14:schemeClr w14:val="tx1"/>
            </w14:solidFill>
          </w14:textFill>
        </w:rPr>
        <w:t>条 其他</w:t>
      </w:r>
    </w:p>
    <w:p w14:paraId="696D6DE9">
      <w:pPr>
        <w:numPr>
          <w:ilvl w:val="-1"/>
          <w:numId w:val="0"/>
        </w:numPr>
        <w:spacing w:line="560" w:lineRule="exact"/>
        <w:ind w:firstLine="640" w:firstLineChars="200"/>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 xml:space="preserve">17.1 </w:t>
      </w:r>
      <w:r>
        <w:rPr>
          <w:rFonts w:hint="eastAsia" w:ascii="仿宋_GB2312" w:hAnsi="仿宋_GB2312" w:eastAsia="仿宋_GB2312" w:cs="仿宋_GB2312"/>
          <w:color w:val="000000" w:themeColor="text1"/>
          <w:sz w:val="32"/>
          <w:szCs w:val="32"/>
          <w:highlight w:val="none"/>
          <w14:textFill>
            <w14:solidFill>
              <w14:schemeClr w14:val="tx1"/>
            </w14:solidFill>
          </w14:textFill>
        </w:rPr>
        <w:t>未经甲乙</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双</w:t>
      </w:r>
      <w:r>
        <w:rPr>
          <w:rFonts w:hint="eastAsia" w:ascii="仿宋_GB2312" w:hAnsi="仿宋_GB2312" w:eastAsia="仿宋_GB2312" w:cs="仿宋_GB2312"/>
          <w:color w:val="000000" w:themeColor="text1"/>
          <w:sz w:val="32"/>
          <w:szCs w:val="32"/>
          <w:highlight w:val="none"/>
          <w14:textFill>
            <w14:solidFill>
              <w14:schemeClr w14:val="tx1"/>
            </w14:solidFill>
          </w14:textFill>
        </w:rPr>
        <w:t>方确认，任何一方不得自行变更或修改本</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协议</w:t>
      </w:r>
      <w:r>
        <w:rPr>
          <w:rFonts w:hint="eastAsia" w:ascii="仿宋_GB2312" w:hAnsi="仿宋_GB2312" w:eastAsia="仿宋_GB2312" w:cs="仿宋_GB2312"/>
          <w:color w:val="000000" w:themeColor="text1"/>
          <w:sz w:val="32"/>
          <w:szCs w:val="32"/>
          <w:highlight w:val="none"/>
          <w14:textFill>
            <w14:solidFill>
              <w14:schemeClr w14:val="tx1"/>
            </w14:solidFill>
          </w14:textFill>
        </w:rPr>
        <w:t>。</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双</w:t>
      </w:r>
      <w:r>
        <w:rPr>
          <w:rFonts w:hint="eastAsia" w:ascii="仿宋_GB2312" w:hAnsi="仿宋_GB2312" w:eastAsia="仿宋_GB2312" w:cs="仿宋_GB2312"/>
          <w:color w:val="000000" w:themeColor="text1"/>
          <w:sz w:val="32"/>
          <w:szCs w:val="32"/>
          <w:highlight w:val="none"/>
          <w14:textFill>
            <w14:solidFill>
              <w14:schemeClr w14:val="tx1"/>
            </w14:solidFill>
          </w14:textFill>
        </w:rPr>
        <w:t>方协商一致变更、修改本</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协议</w:t>
      </w:r>
      <w:r>
        <w:rPr>
          <w:rFonts w:hint="eastAsia" w:ascii="仿宋_GB2312" w:hAnsi="仿宋_GB2312" w:eastAsia="仿宋_GB2312" w:cs="仿宋_GB2312"/>
          <w:color w:val="000000" w:themeColor="text1"/>
          <w:sz w:val="32"/>
          <w:szCs w:val="32"/>
          <w:highlight w:val="none"/>
          <w14:textFill>
            <w14:solidFill>
              <w14:schemeClr w14:val="tx1"/>
            </w14:solidFill>
          </w14:textFill>
        </w:rPr>
        <w:t>的，可书面签订补充协议；补充协议是</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协议</w:t>
      </w:r>
      <w:r>
        <w:rPr>
          <w:rFonts w:hint="eastAsia" w:ascii="仿宋_GB2312" w:hAnsi="仿宋_GB2312" w:eastAsia="仿宋_GB2312" w:cs="仿宋_GB2312"/>
          <w:color w:val="000000" w:themeColor="text1"/>
          <w:sz w:val="32"/>
          <w:szCs w:val="32"/>
          <w:highlight w:val="none"/>
          <w14:textFill>
            <w14:solidFill>
              <w14:schemeClr w14:val="tx1"/>
            </w14:solidFill>
          </w14:textFill>
        </w:rPr>
        <w:t>不可分割的组成部分，与本</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协议</w:t>
      </w:r>
      <w:r>
        <w:rPr>
          <w:rFonts w:hint="eastAsia" w:ascii="仿宋_GB2312" w:hAnsi="仿宋_GB2312" w:eastAsia="仿宋_GB2312" w:cs="仿宋_GB2312"/>
          <w:color w:val="000000" w:themeColor="text1"/>
          <w:sz w:val="32"/>
          <w:szCs w:val="32"/>
          <w:highlight w:val="none"/>
          <w14:textFill>
            <w14:solidFill>
              <w14:schemeClr w14:val="tx1"/>
            </w14:solidFill>
          </w14:textFill>
        </w:rPr>
        <w:t>具有同等法律效力。</w:t>
      </w:r>
    </w:p>
    <w:p w14:paraId="12F01C12">
      <w:pPr>
        <w:numPr>
          <w:ilvl w:val="-1"/>
          <w:numId w:val="0"/>
        </w:numPr>
        <w:spacing w:line="560" w:lineRule="exact"/>
        <w:ind w:firstLine="640" w:firstLineChars="200"/>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17.2</w:t>
      </w:r>
      <w:r>
        <w:rPr>
          <w:rFonts w:hint="eastAsia" w:ascii="仿宋_GB2312" w:hAnsi="仿宋_GB2312" w:eastAsia="仿宋_GB2312" w:cs="仿宋_GB2312"/>
          <w:color w:val="000000" w:themeColor="text1"/>
          <w:sz w:val="32"/>
          <w:szCs w:val="32"/>
          <w:highlight w:val="none"/>
          <w14:textFill>
            <w14:solidFill>
              <w14:schemeClr w14:val="tx1"/>
            </w14:solidFill>
          </w14:textFill>
        </w:rPr>
        <w:t>本</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协议</w:t>
      </w:r>
      <w:r>
        <w:rPr>
          <w:rFonts w:hint="eastAsia" w:ascii="仿宋_GB2312" w:hAnsi="仿宋_GB2312" w:eastAsia="仿宋_GB2312" w:cs="仿宋_GB2312"/>
          <w:color w:val="000000" w:themeColor="text1"/>
          <w:sz w:val="32"/>
          <w:szCs w:val="32"/>
          <w:highlight w:val="none"/>
          <w14:textFill>
            <w14:solidFill>
              <w14:schemeClr w14:val="tx1"/>
            </w14:solidFill>
          </w14:textFill>
        </w:rPr>
        <w:t>自甲乙</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双</w:t>
      </w:r>
      <w:r>
        <w:rPr>
          <w:rFonts w:hint="eastAsia" w:ascii="仿宋_GB2312" w:hAnsi="仿宋_GB2312" w:eastAsia="仿宋_GB2312" w:cs="仿宋_GB2312"/>
          <w:color w:val="000000" w:themeColor="text1"/>
          <w:sz w:val="32"/>
          <w:szCs w:val="32"/>
          <w:highlight w:val="none"/>
          <w14:textFill>
            <w14:solidFill>
              <w14:schemeClr w14:val="tx1"/>
            </w14:solidFill>
          </w14:textFill>
        </w:rPr>
        <w:t>方法定代表人/授权代理人签字并加盖公章/按印之日起生效。</w:t>
      </w:r>
    </w:p>
    <w:p w14:paraId="23841524">
      <w:pPr>
        <w:numPr>
          <w:ilvl w:val="-1"/>
          <w:numId w:val="0"/>
        </w:numPr>
        <w:spacing w:line="560" w:lineRule="exact"/>
        <w:ind w:firstLine="640" w:firstLineChars="200"/>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 xml:space="preserve">17.3 </w:t>
      </w:r>
      <w:r>
        <w:rPr>
          <w:rFonts w:hint="eastAsia" w:ascii="仿宋_GB2312" w:hAnsi="仿宋_GB2312" w:eastAsia="仿宋_GB2312" w:cs="仿宋_GB2312"/>
          <w:color w:val="000000" w:themeColor="text1"/>
          <w:sz w:val="32"/>
          <w:szCs w:val="32"/>
          <w:highlight w:val="none"/>
          <w14:textFill>
            <w14:solidFill>
              <w14:schemeClr w14:val="tx1"/>
            </w14:solidFill>
          </w14:textFill>
        </w:rPr>
        <w:t>本</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协议</w:t>
      </w:r>
      <w:r>
        <w:rPr>
          <w:rFonts w:hint="eastAsia" w:ascii="仿宋_GB2312" w:hAnsi="仿宋_GB2312" w:eastAsia="仿宋_GB2312" w:cs="仿宋_GB2312"/>
          <w:color w:val="000000" w:themeColor="text1"/>
          <w:sz w:val="32"/>
          <w:szCs w:val="32"/>
          <w:highlight w:val="none"/>
          <w14:textFill>
            <w14:solidFill>
              <w14:schemeClr w14:val="tx1"/>
            </w14:solidFill>
          </w14:textFill>
        </w:rPr>
        <w:t>一式</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肆</w:t>
      </w:r>
      <w:r>
        <w:rPr>
          <w:rFonts w:hint="eastAsia" w:ascii="仿宋_GB2312" w:hAnsi="仿宋_GB2312" w:eastAsia="仿宋_GB2312" w:cs="仿宋_GB2312"/>
          <w:color w:val="000000" w:themeColor="text1"/>
          <w:sz w:val="32"/>
          <w:szCs w:val="32"/>
          <w:highlight w:val="none"/>
          <w14:textFill>
            <w14:solidFill>
              <w14:schemeClr w14:val="tx1"/>
            </w14:solidFill>
          </w14:textFill>
        </w:rPr>
        <w:t>份，甲方执肆份，乙方执贰份，具有同等效力。</w:t>
      </w:r>
    </w:p>
    <w:p w14:paraId="41CC2EFD">
      <w:pPr>
        <w:spacing w:line="560" w:lineRule="exact"/>
        <w:ind w:firstLine="640" w:firstLineChars="200"/>
        <w:rPr>
          <w:rFonts w:hint="eastAsia" w:ascii="仿宋_GB2312" w:hAnsi="仿宋_GB2312" w:eastAsia="仿宋_GB2312" w:cs="仿宋_GB2312"/>
          <w:color w:val="000000" w:themeColor="text1"/>
          <w:sz w:val="32"/>
          <w:szCs w:val="32"/>
          <w:highlight w:val="none"/>
          <w14:textFill>
            <w14:solidFill>
              <w14:schemeClr w14:val="tx1"/>
            </w14:solidFill>
          </w14:textFill>
        </w:rPr>
      </w:pPr>
    </w:p>
    <w:p w14:paraId="1CEDABCE">
      <w:pPr>
        <w:spacing w:line="560" w:lineRule="exact"/>
        <w:ind w:firstLine="0" w:firstLineChars="0"/>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（以下无正文）</w:t>
      </w:r>
    </w:p>
    <w:p w14:paraId="065BD1B9">
      <w:pPr>
        <w:spacing w:line="560" w:lineRule="exact"/>
        <w:rPr>
          <w:rFonts w:hint="eastAsia" w:ascii="仿宋_GB2312" w:hAnsi="仿宋_GB2312" w:eastAsia="仿宋_GB2312" w:cs="仿宋_GB2312"/>
          <w:sz w:val="32"/>
          <w:szCs w:val="32"/>
        </w:rPr>
      </w:pPr>
    </w:p>
    <w:p w14:paraId="1B7A15CB">
      <w:pPr>
        <w:pStyle w:val="2"/>
        <w:spacing w:line="560" w:lineRule="exact"/>
        <w:ind w:left="0" w:leftChars="0" w:firstLine="640" w:firstLineChars="200"/>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 xml:space="preserve">甲 方：                                  </w:t>
      </w:r>
    </w:p>
    <w:p w14:paraId="4BB382A0">
      <w:pPr>
        <w:pStyle w:val="2"/>
        <w:spacing w:line="560" w:lineRule="exact"/>
        <w:ind w:left="0" w:leftChars="0" w:firstLine="320" w:firstLineChars="100"/>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 xml:space="preserve">法定代表人或授权代理人：                 </w:t>
      </w:r>
    </w:p>
    <w:p w14:paraId="2B9DB399">
      <w:pPr>
        <w:pStyle w:val="2"/>
        <w:spacing w:line="560" w:lineRule="exact"/>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 xml:space="preserve">日 期：                                 </w:t>
      </w:r>
    </w:p>
    <w:p w14:paraId="38C85415">
      <w:pPr>
        <w:pStyle w:val="2"/>
        <w:spacing w:line="560" w:lineRule="exact"/>
        <w:rPr>
          <w:rFonts w:hint="eastAsia" w:ascii="仿宋_GB2312" w:hAnsi="仿宋_GB2312" w:eastAsia="仿宋_GB2312" w:cs="仿宋_GB2312"/>
          <w:color w:val="000000" w:themeColor="text1"/>
          <w:sz w:val="32"/>
          <w:szCs w:val="32"/>
          <w:highlight w:val="none"/>
          <w14:textFill>
            <w14:solidFill>
              <w14:schemeClr w14:val="tx1"/>
            </w14:solidFill>
          </w14:textFill>
        </w:rPr>
      </w:pPr>
    </w:p>
    <w:p w14:paraId="0EE50C75">
      <w:pPr>
        <w:rPr>
          <w:rFonts w:hint="eastAsia" w:ascii="仿宋_GB2312" w:hAnsi="仿宋_GB2312" w:eastAsia="仿宋_GB2312" w:cs="仿宋_GB2312"/>
          <w:color w:val="000000" w:themeColor="text1"/>
          <w:sz w:val="32"/>
          <w:szCs w:val="32"/>
          <w:highlight w:val="none"/>
          <w14:textFill>
            <w14:solidFill>
              <w14:schemeClr w14:val="tx1"/>
            </w14:solidFill>
          </w14:textFill>
        </w:rPr>
      </w:pPr>
    </w:p>
    <w:p w14:paraId="26FB34DB">
      <w:pPr>
        <w:pStyle w:val="2"/>
        <w:rPr>
          <w:rFonts w:hint="eastAsia"/>
        </w:rPr>
      </w:pPr>
    </w:p>
    <w:p w14:paraId="66917EF4">
      <w:pPr>
        <w:pStyle w:val="2"/>
        <w:spacing w:line="560" w:lineRule="exact"/>
        <w:ind w:left="0" w:leftChars="0" w:firstLine="640" w:firstLineChars="200"/>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Hans"/>
          <w14:textFill>
            <w14:solidFill>
              <w14:schemeClr w14:val="tx1"/>
            </w14:solidFill>
          </w14:textFill>
        </w:rPr>
        <w:t>乙</w:t>
      </w:r>
      <w:r>
        <w:rPr>
          <w:rFonts w:hint="eastAsia" w:ascii="仿宋_GB2312" w:hAnsi="仿宋_GB2312" w:eastAsia="仿宋_GB2312" w:cs="仿宋_GB2312"/>
          <w:color w:val="000000" w:themeColor="text1"/>
          <w:sz w:val="32"/>
          <w:szCs w:val="32"/>
          <w:highlight w:val="none"/>
          <w14:textFill>
            <w14:solidFill>
              <w14:schemeClr w14:val="tx1"/>
            </w14:solidFill>
          </w14:textFill>
        </w:rPr>
        <w:t xml:space="preserve"> 方：                                  </w:t>
      </w:r>
    </w:p>
    <w:p w14:paraId="338DFF03">
      <w:pPr>
        <w:pStyle w:val="2"/>
        <w:spacing w:line="560" w:lineRule="exact"/>
        <w:ind w:left="0" w:leftChars="0" w:firstLine="320" w:firstLineChars="100"/>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 xml:space="preserve">法定代表人或授权代理人：                 </w:t>
      </w:r>
    </w:p>
    <w:p w14:paraId="4CFFE5A4">
      <w:pPr>
        <w:pStyle w:val="2"/>
        <w:spacing w:line="560" w:lineRule="exact"/>
        <w:ind w:left="0" w:leftChars="0" w:firstLine="640" w:firstLineChars="200"/>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 xml:space="preserve">日 期：                               </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 xml:space="preserve"> </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014E27">
    <w:pPr>
      <w:pStyle w:val="7"/>
    </w:pP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097" name="文本框 1"/>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14:paraId="18B335DB">
                          <w:pPr>
                            <w:pStyle w:val="7"/>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w:t>
                          </w:r>
                          <w:r>
                            <w:fldChar w:fldCharType="end"/>
                          </w:r>
                          <w:r>
                            <w:t xml:space="preserve"> 页</w:t>
                          </w:r>
                        </w:p>
                      </w:txbxContent>
                    </wps:txbx>
                    <wps:bodyPr vert="horz" wrap="none" lIns="0" tIns="0" rIns="0" bIns="0" anchor="t">
                      <a:spAutoFit/>
                    </wps:bodyPr>
                  </wps:wsp>
                </a:graphicData>
              </a:graphic>
            </wp:anchor>
          </w:drawing>
        </mc:Choice>
        <mc:Fallback>
          <w:pict>
            <v:rect id="文本框 1"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C5dblS0AAAAAUBAAAPAAAAAAAAAAEAIAAAACIAAABkcnMvZG93bnJldi54&#10;bWxQSwECFAAUAAAACACHTuJAAlies8kBAACSAwAADgAAAAAAAAABACAAAAAfAQAAZHJzL2Uyb0Rv&#10;Yy54bWxQSwUGAAAAAAYABgBZAQAAWgUAAAAA&#10;">
              <v:fill on="f" focussize="0,0"/>
              <v:stroke on="f"/>
              <v:imagedata o:title=""/>
              <o:lock v:ext="edit" aspectratio="f"/>
              <v:textbox inset="0mm,0mm,0mm,0mm" style="mso-fit-shape-to-text:t;">
                <w:txbxContent>
                  <w:p w14:paraId="18B335DB">
                    <w:pPr>
                      <w:pStyle w:val="7"/>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w:t>
                    </w:r>
                    <w:r>
                      <w:fldChar w:fldCharType="end"/>
                    </w:r>
                    <w:r>
                      <w:t xml:space="preserve"> 页</w:t>
                    </w:r>
                  </w:p>
                </w:txbxContent>
              </v:textbox>
            </v:rect>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revisionView w:markup="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Q1YTJjMjNmZDQxMmIzMWVmZDgwOWIwZjg2MTE0YjUifQ=="/>
  </w:docVars>
  <w:rsids>
    <w:rsidRoot w:val="004E126C"/>
    <w:rsid w:val="000C5078"/>
    <w:rsid w:val="000F402F"/>
    <w:rsid w:val="004E126C"/>
    <w:rsid w:val="00522144"/>
    <w:rsid w:val="00A86F36"/>
    <w:rsid w:val="00F444BA"/>
    <w:rsid w:val="02B57337"/>
    <w:rsid w:val="034D31B8"/>
    <w:rsid w:val="03E868D9"/>
    <w:rsid w:val="045F2B5F"/>
    <w:rsid w:val="06DA204E"/>
    <w:rsid w:val="07035C78"/>
    <w:rsid w:val="09B27921"/>
    <w:rsid w:val="0C7A0B65"/>
    <w:rsid w:val="0E39045D"/>
    <w:rsid w:val="0E3B0B40"/>
    <w:rsid w:val="0E9A68C4"/>
    <w:rsid w:val="0FF17967"/>
    <w:rsid w:val="102069C0"/>
    <w:rsid w:val="10411B3E"/>
    <w:rsid w:val="10630543"/>
    <w:rsid w:val="10E65528"/>
    <w:rsid w:val="13456BDD"/>
    <w:rsid w:val="13460BA8"/>
    <w:rsid w:val="17EE7042"/>
    <w:rsid w:val="180715CC"/>
    <w:rsid w:val="190D35D5"/>
    <w:rsid w:val="199465F0"/>
    <w:rsid w:val="1B2154B6"/>
    <w:rsid w:val="1C7E7BCE"/>
    <w:rsid w:val="1D683ACF"/>
    <w:rsid w:val="1D6C2C87"/>
    <w:rsid w:val="1E641526"/>
    <w:rsid w:val="1EF02DBA"/>
    <w:rsid w:val="1F7B038F"/>
    <w:rsid w:val="1FDAED5F"/>
    <w:rsid w:val="23264FFC"/>
    <w:rsid w:val="25FFB81C"/>
    <w:rsid w:val="27107239"/>
    <w:rsid w:val="28283C34"/>
    <w:rsid w:val="28A17DCD"/>
    <w:rsid w:val="28C845AD"/>
    <w:rsid w:val="29297C37"/>
    <w:rsid w:val="296C407E"/>
    <w:rsid w:val="296EDB4B"/>
    <w:rsid w:val="29EB72EC"/>
    <w:rsid w:val="2BA7185C"/>
    <w:rsid w:val="2D4A049A"/>
    <w:rsid w:val="2E8157DC"/>
    <w:rsid w:val="2EC45D80"/>
    <w:rsid w:val="2F145D9E"/>
    <w:rsid w:val="3320679B"/>
    <w:rsid w:val="33AB7CF1"/>
    <w:rsid w:val="34F76B72"/>
    <w:rsid w:val="3510668C"/>
    <w:rsid w:val="36FE6612"/>
    <w:rsid w:val="375D4A8B"/>
    <w:rsid w:val="38966328"/>
    <w:rsid w:val="38C56C0D"/>
    <w:rsid w:val="3B9514C5"/>
    <w:rsid w:val="3BB37E5D"/>
    <w:rsid w:val="3BFE0148"/>
    <w:rsid w:val="3DF25ADF"/>
    <w:rsid w:val="3E910968"/>
    <w:rsid w:val="3F747C24"/>
    <w:rsid w:val="409220A6"/>
    <w:rsid w:val="41326E0A"/>
    <w:rsid w:val="45FF1291"/>
    <w:rsid w:val="467B15AE"/>
    <w:rsid w:val="4722659D"/>
    <w:rsid w:val="487132F4"/>
    <w:rsid w:val="49B26D3A"/>
    <w:rsid w:val="49E0035F"/>
    <w:rsid w:val="4AB82328"/>
    <w:rsid w:val="4BD61557"/>
    <w:rsid w:val="4C156141"/>
    <w:rsid w:val="4E0B7232"/>
    <w:rsid w:val="4EBC0F03"/>
    <w:rsid w:val="4EF9375A"/>
    <w:rsid w:val="507C26F5"/>
    <w:rsid w:val="51BF11F2"/>
    <w:rsid w:val="521C2714"/>
    <w:rsid w:val="52514F1D"/>
    <w:rsid w:val="54027501"/>
    <w:rsid w:val="56D7542D"/>
    <w:rsid w:val="57C749B3"/>
    <w:rsid w:val="58374A59"/>
    <w:rsid w:val="59B615E7"/>
    <w:rsid w:val="59E161E8"/>
    <w:rsid w:val="5C5C4E54"/>
    <w:rsid w:val="5CC721D8"/>
    <w:rsid w:val="5E1B2CA8"/>
    <w:rsid w:val="5F530220"/>
    <w:rsid w:val="601951B6"/>
    <w:rsid w:val="62EF7E6C"/>
    <w:rsid w:val="65391FC4"/>
    <w:rsid w:val="6B21110B"/>
    <w:rsid w:val="6B27673E"/>
    <w:rsid w:val="6BFF2066"/>
    <w:rsid w:val="6BFF2EC4"/>
    <w:rsid w:val="6D300FDD"/>
    <w:rsid w:val="6D45389E"/>
    <w:rsid w:val="6E873855"/>
    <w:rsid w:val="6ED749C9"/>
    <w:rsid w:val="6F0A51A1"/>
    <w:rsid w:val="6FB40D83"/>
    <w:rsid w:val="700C582B"/>
    <w:rsid w:val="725D10C4"/>
    <w:rsid w:val="72743E70"/>
    <w:rsid w:val="729B71B9"/>
    <w:rsid w:val="72B9719A"/>
    <w:rsid w:val="73FCC739"/>
    <w:rsid w:val="75037F41"/>
    <w:rsid w:val="750F01C1"/>
    <w:rsid w:val="77776FA0"/>
    <w:rsid w:val="77E316B9"/>
    <w:rsid w:val="787C48CC"/>
    <w:rsid w:val="796773DE"/>
    <w:rsid w:val="79DEAEEC"/>
    <w:rsid w:val="7A0D74F1"/>
    <w:rsid w:val="7AB307C6"/>
    <w:rsid w:val="7BEF3A23"/>
    <w:rsid w:val="7BFE32FC"/>
    <w:rsid w:val="7BFF51CD"/>
    <w:rsid w:val="7C344DEE"/>
    <w:rsid w:val="7DFB7CAC"/>
    <w:rsid w:val="7DFC3E4C"/>
    <w:rsid w:val="7E7FD28F"/>
    <w:rsid w:val="7EFB58EE"/>
    <w:rsid w:val="7F93D207"/>
    <w:rsid w:val="7FE1A826"/>
    <w:rsid w:val="7FFD08B8"/>
    <w:rsid w:val="7FFF5140"/>
    <w:rsid w:val="9E385E82"/>
    <w:rsid w:val="9F7F867D"/>
    <w:rsid w:val="AB724EBA"/>
    <w:rsid w:val="AF7F2723"/>
    <w:rsid w:val="AFFF0FE6"/>
    <w:rsid w:val="B7BE0629"/>
    <w:rsid w:val="BFFF6296"/>
    <w:rsid w:val="C6AE6663"/>
    <w:rsid w:val="CDFF5CB1"/>
    <w:rsid w:val="D74DE938"/>
    <w:rsid w:val="DBF7F724"/>
    <w:rsid w:val="DFFF69E9"/>
    <w:rsid w:val="E66F0F65"/>
    <w:rsid w:val="EAE7DE55"/>
    <w:rsid w:val="EBFFE034"/>
    <w:rsid w:val="EF2A9F9C"/>
    <w:rsid w:val="F3EDE0AE"/>
    <w:rsid w:val="F4CC48FC"/>
    <w:rsid w:val="F6F5AD61"/>
    <w:rsid w:val="FB6E65C1"/>
    <w:rsid w:val="FBDF7607"/>
    <w:rsid w:val="FBF454E2"/>
    <w:rsid w:val="FDFE2E13"/>
    <w:rsid w:val="FEAC8CFB"/>
    <w:rsid w:val="FEBDD45E"/>
    <w:rsid w:val="FF9D98C9"/>
    <w:rsid w:val="FFB7BA06"/>
    <w:rsid w:val="FFD657C7"/>
    <w:rsid w:val="FFFFFA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qFormat="1" w:unhideWhenUsed="0" w:uiPriority="0" w:semiHidden="0"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宋体"/>
      <w:kern w:val="2"/>
      <w:sz w:val="21"/>
      <w:szCs w:val="24"/>
      <w:lang w:val="en-US" w:eastAsia="zh-CN" w:bidi="ar-SA"/>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table of authorities"/>
    <w:basedOn w:val="1"/>
    <w:next w:val="1"/>
    <w:qFormat/>
    <w:uiPriority w:val="0"/>
    <w:pPr>
      <w:ind w:left="420" w:leftChars="200"/>
    </w:pPr>
  </w:style>
  <w:style w:type="paragraph" w:styleId="3">
    <w:name w:val="Normal Indent"/>
    <w:basedOn w:val="1"/>
    <w:next w:val="4"/>
    <w:qFormat/>
    <w:uiPriority w:val="0"/>
    <w:pPr>
      <w:ind w:firstLine="420"/>
    </w:pPr>
    <w:rPr>
      <w:rFonts w:ascii="Times New Roman" w:hAnsi="Times New Roman" w:eastAsia="宋体" w:cs="Times New Roman"/>
    </w:rPr>
  </w:style>
  <w:style w:type="paragraph" w:styleId="4">
    <w:name w:val="Body Text"/>
    <w:basedOn w:val="1"/>
    <w:next w:val="1"/>
    <w:qFormat/>
    <w:uiPriority w:val="0"/>
    <w:pPr>
      <w:spacing w:line="560" w:lineRule="exact"/>
      <w:ind w:right="17" w:rightChars="8"/>
    </w:pPr>
  </w:style>
  <w:style w:type="paragraph" w:styleId="5">
    <w:name w:val="annotation text"/>
    <w:basedOn w:val="1"/>
    <w:qFormat/>
    <w:uiPriority w:val="0"/>
    <w:pPr>
      <w:jc w:val="left"/>
    </w:pPr>
  </w:style>
  <w:style w:type="paragraph" w:styleId="6">
    <w:name w:val="Body Text Indent"/>
    <w:basedOn w:val="1"/>
    <w:qFormat/>
    <w:uiPriority w:val="99"/>
    <w:pPr>
      <w:spacing w:after="120"/>
      <w:ind w:left="420" w:leftChars="200"/>
    </w:p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Normal (Web)"/>
    <w:basedOn w:val="1"/>
    <w:qFormat/>
    <w:uiPriority w:val="0"/>
    <w:rPr>
      <w:sz w:val="24"/>
    </w:rPr>
  </w:style>
  <w:style w:type="paragraph" w:styleId="10">
    <w:name w:val="Title"/>
    <w:basedOn w:val="1"/>
    <w:next w:val="1"/>
    <w:qFormat/>
    <w:uiPriority w:val="10"/>
    <w:pPr>
      <w:outlineLvl w:val="0"/>
    </w:pPr>
    <w:rPr>
      <w:rFonts w:ascii="Arial" w:hAnsi="Arial"/>
      <w:b/>
      <w:sz w:val="32"/>
    </w:rPr>
  </w:style>
  <w:style w:type="paragraph" w:styleId="11">
    <w:name w:val="Body Text First Indent 2"/>
    <w:basedOn w:val="6"/>
    <w:next w:val="1"/>
    <w:qFormat/>
    <w:uiPriority w:val="99"/>
    <w:pPr>
      <w:spacing w:after="0" w:line="500" w:lineRule="exact"/>
      <w:ind w:left="0" w:leftChars="0" w:firstLine="420"/>
    </w:pPr>
    <w:rPr>
      <w:sz w:val="30"/>
    </w:rPr>
  </w:style>
  <w:style w:type="character" w:customStyle="1" w:styleId="14">
    <w:name w:val="NormalCharacter"/>
    <w:qFormat/>
    <w:uiPriority w:val="0"/>
  </w:style>
  <w:style w:type="paragraph" w:customStyle="1" w:styleId="15">
    <w:name w:val="列表段落1"/>
    <w:basedOn w:val="1"/>
    <w:qFormat/>
    <w:uiPriority w:val="1"/>
    <w:pPr>
      <w:ind w:left="103"/>
    </w:pPr>
    <w:rPr>
      <w:rFonts w:ascii="宋体" w:hAnsi="宋体"/>
      <w:lang w:val="zh-CN" w:bidi="zh-CN"/>
    </w:rPr>
  </w:style>
  <w:style w:type="paragraph" w:customStyle="1" w:styleId="16">
    <w:name w:val="td2s"/>
    <w:basedOn w:val="1"/>
    <w:qFormat/>
    <w:uiPriority w:val="0"/>
    <w:pPr>
      <w:widowControl/>
      <w:spacing w:before="100" w:beforeAutospacing="1" w:after="100" w:afterAutospacing="1" w:line="240" w:lineRule="atLeast"/>
      <w:jc w:val="left"/>
    </w:pPr>
    <w:rPr>
      <w:rFonts w:ascii="宋体" w:hAnsi="宋体"/>
      <w:color w:val="000000"/>
      <w:kern w:val="0"/>
      <w:sz w:val="18"/>
      <w:szCs w:val="18"/>
    </w:rPr>
  </w:style>
  <w:style w:type="paragraph" w:customStyle="1" w:styleId="17">
    <w:name w:val="稻壳合同样式 3级"/>
    <w:basedOn w:val="1"/>
    <w:qFormat/>
    <w:uiPriority w:val="0"/>
    <w:pPr>
      <w:spacing w:line="240" w:lineRule="auto"/>
      <w:outlineLvl w:val="2"/>
    </w:pPr>
    <w:rPr>
      <w:rFonts w:ascii="等线" w:hAnsi="等线" w:eastAsia="等线"/>
    </w:rPr>
  </w:style>
  <w:style w:type="paragraph" w:customStyle="1" w:styleId="18">
    <w:name w:val="稻壳合同样式 2级"/>
    <w:basedOn w:val="1"/>
    <w:qFormat/>
    <w:uiPriority w:val="0"/>
    <w:pPr>
      <w:spacing w:line="240" w:lineRule="auto"/>
      <w:outlineLvl w:val="1"/>
    </w:pPr>
    <w:rPr>
      <w:rFonts w:hint="eastAsia" w:ascii="等线" w:hAnsi="等线" w:eastAsia="等线" w:cs="等线"/>
    </w:rPr>
  </w:style>
  <w:style w:type="character" w:customStyle="1" w:styleId="19">
    <w:name w:val="15"/>
    <w:basedOn w:val="13"/>
    <w:qFormat/>
    <w:uiPriority w:val="0"/>
    <w:rPr>
      <w:rFonts w:hint="eastAsia" w:ascii="等线" w:hAnsi="等线" w:eastAsia="等线"/>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15</Pages>
  <Words>6533</Words>
  <Characters>6848</Characters>
  <Lines>41</Lines>
  <Paragraphs>11</Paragraphs>
  <TotalTime>51</TotalTime>
  <ScaleCrop>false</ScaleCrop>
  <LinksUpToDate>false</LinksUpToDate>
  <CharactersWithSpaces>7498</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2022-11-26T13:19:00Z</dcterms:created>
  <dc:creator>中联-llx</dc:creator>
  <cp:lastModifiedBy>Www</cp:lastModifiedBy>
  <cp:lastPrinted>2025-03-18T09:21:00Z</cp:lastPrinted>
  <dcterms:modified xsi:type="dcterms:W3CDTF">2025-04-22T08:10:47Z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0E832FC0A8DB4DA0BD28BC19B330A295_13</vt:lpwstr>
  </property>
  <property fmtid="{D5CDD505-2E9C-101B-9397-08002B2CF9AE}" pid="4" name="KSOTemplateDocerSaveRecord">
    <vt:lpwstr>eyJoZGlkIjoiY2VmYjIxY2NjNTk3NzYwNTQzNDY4YWE0MGJlOTIwZTYiLCJ1c2VySWQiOiIzMzY0NTk1MzEifQ==</vt:lpwstr>
  </property>
</Properties>
</file>