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D202D32">
      <w:pPr>
        <w:autoSpaceDE w:val="0"/>
        <w:autoSpaceDN w:val="0"/>
        <w:adjustRightInd w:val="0"/>
        <w:spacing w:line="240" w:lineRule="auto"/>
        <w:rPr>
          <w:rFonts w:hint="default" w:ascii="黑体" w:hAnsi="黑体" w:eastAsia="黑体" w:cs="黑体"/>
          <w:b w:val="0"/>
          <w:bCs w:val="0"/>
          <w:color w:val="auto"/>
          <w:kern w:val="2"/>
          <w:sz w:val="28"/>
          <w:szCs w:val="28"/>
          <w:highlight w:val="none"/>
          <w:lang w:val="en-US" w:eastAsia="zh-CN"/>
        </w:rPr>
      </w:pPr>
      <w:r>
        <w:rPr>
          <w:rFonts w:hint="eastAsia" w:ascii="黑体" w:hAnsi="黑体" w:eastAsia="黑体" w:cs="黑体"/>
          <w:b w:val="0"/>
          <w:bCs w:val="0"/>
          <w:color w:val="auto"/>
          <w:kern w:val="2"/>
          <w:sz w:val="28"/>
          <w:szCs w:val="28"/>
          <w:highlight w:val="none"/>
          <w:lang w:val="en-US" w:eastAsia="zh-CN"/>
        </w:rPr>
        <w:t xml:space="preserve">出租标的现状 </w:t>
      </w:r>
    </w:p>
    <w:p w14:paraId="09837A39">
      <w:pPr>
        <w:spacing w:line="360" w:lineRule="auto"/>
        <w:ind w:right="42" w:rightChars="20" w:firstLine="560" w:firstLineChars="200"/>
        <w:jc w:val="left"/>
        <w:rPr>
          <w:rFonts w:hint="eastAsia" w:ascii="仿宋_GB2312" w:hAnsi="仿宋_GB2312" w:eastAsia="仿宋_GB2312" w:cs="仿宋_GB2312"/>
          <w:color w:val="auto"/>
          <w:kern w:val="0"/>
          <w:sz w:val="28"/>
          <w:szCs w:val="28"/>
          <w:highlight w:val="none"/>
          <w:lang w:val="en-US" w:eastAsia="zh-CN"/>
        </w:rPr>
      </w:pPr>
      <w:r>
        <w:rPr>
          <w:rFonts w:hint="eastAsia" w:ascii="仿宋_GB2312" w:hAnsi="仿宋_GB2312" w:eastAsia="仿宋_GB2312" w:cs="仿宋_GB2312"/>
          <w:color w:val="auto"/>
          <w:kern w:val="0"/>
          <w:sz w:val="28"/>
          <w:szCs w:val="28"/>
          <w:highlight w:val="none"/>
          <w:lang w:val="en-US" w:eastAsia="zh-CN"/>
        </w:rPr>
        <w:t>1.出租标的按现状出租，现场仅完成了主体、出入口（下沉式广场）和风井混凝土结构施工并预留水电接入条件，具体实施及预留情况详见《贵阳轨道交通1号线贵阳火车站物业空间设置情况及预留措施统计表》。</w:t>
      </w:r>
    </w:p>
    <w:p w14:paraId="0D4F93E5">
      <w:pPr>
        <w:overflowPunct/>
        <w:autoSpaceDE/>
        <w:spacing w:line="360" w:lineRule="auto"/>
        <w:ind w:right="42" w:rightChars="20" w:firstLine="560" w:firstLineChars="200"/>
        <w:jc w:val="left"/>
        <w:rPr>
          <w:rFonts w:hint="eastAsia" w:ascii="仿宋_GB2312" w:hAnsi="仿宋_GB2312" w:eastAsia="仿宋_GB2312" w:cs="仿宋_GB2312"/>
          <w:color w:val="auto"/>
          <w:kern w:val="0"/>
          <w:sz w:val="28"/>
          <w:szCs w:val="28"/>
          <w:highlight w:val="none"/>
          <w:lang w:eastAsia="zh-CN"/>
        </w:rPr>
      </w:pPr>
      <w:r>
        <w:rPr>
          <w:rFonts w:hint="eastAsia" w:ascii="仿宋_GB2312" w:hAnsi="仿宋_GB2312" w:eastAsia="仿宋_GB2312" w:cs="仿宋_GB2312"/>
          <w:color w:val="auto"/>
          <w:kern w:val="0"/>
          <w:sz w:val="28"/>
          <w:szCs w:val="28"/>
          <w:highlight w:val="none"/>
          <w:lang w:val="en-US" w:eastAsia="zh-CN"/>
        </w:rPr>
        <w:t>2.</w:t>
      </w:r>
      <w:r>
        <w:rPr>
          <w:rFonts w:hint="eastAsia" w:ascii="仿宋_GB2312" w:hAnsi="仿宋_GB2312" w:eastAsia="仿宋_GB2312" w:cs="仿宋_GB2312"/>
          <w:color w:val="auto"/>
          <w:kern w:val="0"/>
          <w:sz w:val="28"/>
          <w:szCs w:val="28"/>
          <w:highlight w:val="none"/>
          <w:lang w:eastAsia="zh-CN"/>
        </w:rPr>
        <w:t>承租人</w:t>
      </w:r>
      <w:r>
        <w:rPr>
          <w:rFonts w:hint="eastAsia" w:ascii="仿宋_GB2312" w:hAnsi="仿宋_GB2312" w:eastAsia="仿宋_GB2312" w:cs="仿宋_GB2312"/>
          <w:color w:val="auto"/>
          <w:kern w:val="0"/>
          <w:sz w:val="28"/>
          <w:szCs w:val="28"/>
          <w:highlight w:val="none"/>
        </w:rPr>
        <w:t>须自行</w:t>
      </w:r>
      <w:r>
        <w:rPr>
          <w:rFonts w:hint="eastAsia" w:ascii="仿宋_GB2312" w:hAnsi="仿宋_GB2312" w:eastAsia="仿宋_GB2312" w:cs="仿宋_GB2312"/>
          <w:color w:val="auto"/>
          <w:kern w:val="0"/>
          <w:sz w:val="28"/>
          <w:szCs w:val="28"/>
          <w:highlight w:val="none"/>
          <w:lang w:val="en-US" w:eastAsia="zh-CN"/>
        </w:rPr>
        <w:t>完成</w:t>
      </w:r>
      <w:r>
        <w:rPr>
          <w:rFonts w:hint="eastAsia" w:ascii="仿宋_GB2312" w:hAnsi="仿宋_GB2312" w:eastAsia="仿宋_GB2312" w:cs="仿宋_GB2312"/>
          <w:color w:val="auto"/>
          <w:kern w:val="0"/>
          <w:sz w:val="28"/>
          <w:szCs w:val="28"/>
          <w:highlight w:val="none"/>
          <w:lang w:eastAsia="zh-CN"/>
        </w:rPr>
        <w:t>出租标的</w:t>
      </w:r>
      <w:r>
        <w:rPr>
          <w:rFonts w:hint="eastAsia" w:ascii="仿宋_GB2312" w:hAnsi="仿宋_GB2312" w:eastAsia="仿宋_GB2312" w:cs="仿宋_GB2312"/>
          <w:color w:val="auto"/>
          <w:kern w:val="0"/>
          <w:sz w:val="28"/>
          <w:szCs w:val="28"/>
          <w:highlight w:val="none"/>
        </w:rPr>
        <w:t>达到经营条件所需的其他工程建设、装饰装修及设施设备安装</w:t>
      </w:r>
      <w:r>
        <w:rPr>
          <w:rFonts w:hint="eastAsia" w:ascii="仿宋_GB2312" w:hAnsi="仿宋_GB2312" w:eastAsia="仿宋_GB2312" w:cs="仿宋_GB2312"/>
          <w:color w:val="auto"/>
          <w:kern w:val="0"/>
          <w:sz w:val="28"/>
          <w:szCs w:val="28"/>
          <w:highlight w:val="none"/>
          <w:lang w:eastAsia="zh-CN"/>
        </w:rPr>
        <w:t>，包含但不限于</w:t>
      </w:r>
      <w:r>
        <w:rPr>
          <w:rFonts w:hint="eastAsia" w:ascii="仿宋_GB2312" w:hAnsi="仿宋_GB2312" w:eastAsia="仿宋_GB2312" w:cs="仿宋_GB2312"/>
          <w:color w:val="auto"/>
          <w:kern w:val="0"/>
          <w:sz w:val="28"/>
          <w:szCs w:val="28"/>
          <w:highlight w:val="none"/>
          <w:lang w:val="en-US" w:eastAsia="zh-CN"/>
        </w:rPr>
        <w:t>截止目前出租人尚未</w:t>
      </w:r>
      <w:r>
        <w:rPr>
          <w:rFonts w:hint="eastAsia" w:ascii="仿宋_GB2312" w:hAnsi="仿宋_GB2312" w:eastAsia="仿宋_GB2312" w:cs="仿宋_GB2312"/>
          <w:color w:val="auto"/>
          <w:kern w:val="0"/>
          <w:sz w:val="28"/>
          <w:szCs w:val="28"/>
          <w:highlight w:val="none"/>
          <w:lang w:eastAsia="zh-CN"/>
        </w:rPr>
        <w:t>实施的物业出入口顶盖、外立面装饰、</w:t>
      </w:r>
      <w:r>
        <w:rPr>
          <w:rFonts w:hint="eastAsia" w:ascii="仿宋_GB2312" w:hAnsi="仿宋_GB2312" w:eastAsia="仿宋_GB2312" w:cs="仿宋_GB2312"/>
          <w:color w:val="auto"/>
          <w:kern w:val="0"/>
          <w:sz w:val="28"/>
          <w:szCs w:val="28"/>
          <w:highlight w:val="none"/>
          <w:lang w:val="en-US" w:eastAsia="zh-CN"/>
        </w:rPr>
        <w:t>冷却塔、交通导向标识、与市政设施接驳、</w:t>
      </w:r>
      <w:r>
        <w:rPr>
          <w:rFonts w:hint="eastAsia" w:ascii="仿宋_GB2312" w:hAnsi="仿宋_GB2312" w:eastAsia="仿宋_GB2312" w:cs="仿宋_GB2312"/>
          <w:color w:val="auto"/>
          <w:kern w:val="0"/>
          <w:sz w:val="28"/>
          <w:szCs w:val="28"/>
          <w:highlight w:val="none"/>
          <w:lang w:eastAsia="zh-CN"/>
        </w:rPr>
        <w:t>给排水、强弱电、通风空调、消防设备设施、电扶梯、</w:t>
      </w:r>
      <w:r>
        <w:rPr>
          <w:rFonts w:hint="eastAsia" w:ascii="仿宋_GB2312" w:hAnsi="仿宋_GB2312" w:eastAsia="仿宋_GB2312" w:cs="仿宋_GB2312"/>
          <w:color w:val="auto"/>
          <w:kern w:val="0"/>
          <w:sz w:val="28"/>
          <w:szCs w:val="28"/>
          <w:highlight w:val="none"/>
          <w:lang w:val="en-US" w:eastAsia="zh-CN"/>
        </w:rPr>
        <w:t>垂梯</w:t>
      </w:r>
      <w:r>
        <w:rPr>
          <w:rFonts w:hint="eastAsia" w:ascii="仿宋_GB2312" w:hAnsi="仿宋_GB2312" w:eastAsia="仿宋_GB2312" w:cs="仿宋_GB2312"/>
          <w:color w:val="auto"/>
          <w:kern w:val="0"/>
          <w:sz w:val="28"/>
          <w:szCs w:val="28"/>
          <w:highlight w:val="none"/>
          <w:lang w:eastAsia="zh-CN"/>
        </w:rPr>
        <w:t>等工程内容的设计、采购、安装</w:t>
      </w:r>
      <w:r>
        <w:rPr>
          <w:rFonts w:hint="eastAsia" w:ascii="仿宋_GB2312" w:hAnsi="仿宋_GB2312" w:eastAsia="仿宋_GB2312" w:cs="仿宋_GB2312"/>
          <w:color w:val="auto"/>
          <w:kern w:val="0"/>
          <w:sz w:val="28"/>
          <w:szCs w:val="28"/>
          <w:highlight w:val="none"/>
          <w:lang w:val="en-US" w:eastAsia="zh-CN"/>
        </w:rPr>
        <w:t>和</w:t>
      </w:r>
      <w:r>
        <w:rPr>
          <w:rFonts w:hint="eastAsia" w:ascii="仿宋_GB2312" w:hAnsi="仿宋_GB2312" w:eastAsia="仿宋_GB2312" w:cs="仿宋_GB2312"/>
          <w:color w:val="auto"/>
          <w:kern w:val="0"/>
          <w:sz w:val="28"/>
          <w:szCs w:val="28"/>
          <w:highlight w:val="none"/>
          <w:lang w:eastAsia="zh-CN"/>
        </w:rPr>
        <w:t>施工；</w:t>
      </w:r>
      <w:r>
        <w:rPr>
          <w:rFonts w:hint="eastAsia" w:ascii="仿宋_GB2312" w:hAnsi="仿宋_GB2312" w:eastAsia="仿宋_GB2312" w:cs="仿宋_GB2312"/>
          <w:color w:val="auto"/>
          <w:kern w:val="0"/>
          <w:sz w:val="28"/>
          <w:szCs w:val="28"/>
          <w:highlight w:val="none"/>
          <w:lang w:val="en-US" w:eastAsia="zh-CN"/>
        </w:rPr>
        <w:t>同时，负责按原设计预留要求</w:t>
      </w:r>
      <w:r>
        <w:rPr>
          <w:rFonts w:hint="eastAsia" w:ascii="仿宋_GB2312" w:hAnsi="仿宋_GB2312" w:eastAsia="仿宋_GB2312" w:cs="仿宋_GB2312"/>
          <w:color w:val="auto"/>
          <w:kern w:val="0"/>
          <w:sz w:val="28"/>
          <w:szCs w:val="28"/>
          <w:highlight w:val="none"/>
          <w:lang w:eastAsia="zh-CN"/>
        </w:rPr>
        <w:t>破除</w:t>
      </w:r>
      <w:r>
        <w:rPr>
          <w:rFonts w:hint="eastAsia" w:ascii="仿宋_GB2312" w:hAnsi="仿宋_GB2312" w:eastAsia="仿宋_GB2312" w:cs="仿宋_GB2312"/>
          <w:color w:val="auto"/>
          <w:kern w:val="0"/>
          <w:sz w:val="28"/>
          <w:szCs w:val="28"/>
          <w:highlight w:val="none"/>
          <w:lang w:val="en-US" w:eastAsia="zh-CN"/>
        </w:rPr>
        <w:t>消防泵房旁的钢筋混凝土墙体及楼梯（尺寸约为5.50m×3.15m,工程量约20m³）、打通原预留设备区往风井方向的</w:t>
      </w:r>
      <w:r>
        <w:rPr>
          <w:rFonts w:hint="eastAsia" w:ascii="仿宋_GB2312" w:hAnsi="仿宋_GB2312" w:eastAsia="仿宋_GB2312" w:cs="仿宋_GB2312"/>
          <w:color w:val="auto"/>
          <w:kern w:val="0"/>
          <w:sz w:val="28"/>
          <w:szCs w:val="28"/>
          <w:highlight w:val="none"/>
          <w:lang w:eastAsia="zh-CN"/>
        </w:rPr>
        <w:t>砌体墙（</w:t>
      </w:r>
      <w:r>
        <w:rPr>
          <w:rFonts w:hint="eastAsia" w:ascii="仿宋_GB2312" w:hAnsi="仿宋_GB2312" w:eastAsia="仿宋_GB2312" w:cs="仿宋_GB2312"/>
          <w:color w:val="auto"/>
          <w:kern w:val="0"/>
          <w:sz w:val="28"/>
          <w:szCs w:val="28"/>
          <w:highlight w:val="none"/>
          <w:lang w:val="en-US" w:eastAsia="zh-CN"/>
        </w:rPr>
        <w:t>具体尺寸和工程量以承租人设计方案为准</w:t>
      </w:r>
      <w:r>
        <w:rPr>
          <w:rFonts w:hint="eastAsia" w:ascii="仿宋_GB2312" w:hAnsi="仿宋_GB2312" w:eastAsia="仿宋_GB2312" w:cs="仿宋_GB2312"/>
          <w:color w:val="auto"/>
          <w:kern w:val="0"/>
          <w:sz w:val="28"/>
          <w:szCs w:val="28"/>
          <w:highlight w:val="none"/>
          <w:lang w:eastAsia="zh-CN"/>
        </w:rPr>
        <w:t>）、</w:t>
      </w:r>
      <w:r>
        <w:rPr>
          <w:rFonts w:hint="eastAsia" w:ascii="仿宋_GB2312" w:hAnsi="仿宋_GB2312" w:eastAsia="仿宋_GB2312" w:cs="仿宋_GB2312"/>
          <w:color w:val="auto"/>
          <w:kern w:val="0"/>
          <w:sz w:val="28"/>
          <w:szCs w:val="28"/>
          <w:highlight w:val="none"/>
          <w:lang w:val="en-US" w:eastAsia="zh-CN"/>
        </w:rPr>
        <w:t>按照相关规范完成下沉式广场附近的</w:t>
      </w:r>
      <w:r>
        <w:rPr>
          <w:rFonts w:hint="eastAsia" w:ascii="仿宋_GB2312" w:hAnsi="仿宋_GB2312" w:eastAsia="仿宋_GB2312" w:cs="仿宋_GB2312"/>
          <w:color w:val="auto"/>
          <w:kern w:val="0"/>
          <w:sz w:val="28"/>
          <w:szCs w:val="28"/>
          <w:highlight w:val="none"/>
          <w:lang w:eastAsia="zh-CN"/>
        </w:rPr>
        <w:t>物业出入口</w:t>
      </w:r>
      <w:r>
        <w:rPr>
          <w:rFonts w:hint="eastAsia" w:ascii="仿宋_GB2312" w:hAnsi="仿宋_GB2312" w:eastAsia="仿宋_GB2312" w:cs="仿宋_GB2312"/>
          <w:color w:val="auto"/>
          <w:kern w:val="0"/>
          <w:sz w:val="28"/>
          <w:szCs w:val="28"/>
          <w:highlight w:val="none"/>
          <w:lang w:val="en-US" w:eastAsia="zh-CN"/>
        </w:rPr>
        <w:t>处的人防门（预留尺寸约8.50m×2.6m）。并承担上述工程建设及</w:t>
      </w:r>
      <w:r>
        <w:rPr>
          <w:rFonts w:hint="eastAsia" w:ascii="仿宋_GB2312" w:hAnsi="仿宋_GB2312" w:eastAsia="仿宋_GB2312" w:cs="仿宋_GB2312"/>
          <w:color w:val="auto"/>
          <w:kern w:val="0"/>
          <w:sz w:val="28"/>
          <w:szCs w:val="28"/>
          <w:highlight w:val="none"/>
          <w:lang w:eastAsia="zh-CN"/>
        </w:rPr>
        <w:t>维修维护</w:t>
      </w:r>
      <w:r>
        <w:rPr>
          <w:rFonts w:hint="eastAsia" w:ascii="仿宋_GB2312" w:hAnsi="仿宋_GB2312" w:eastAsia="仿宋_GB2312" w:cs="仿宋_GB2312"/>
          <w:color w:val="auto"/>
          <w:kern w:val="0"/>
          <w:sz w:val="28"/>
          <w:szCs w:val="28"/>
          <w:highlight w:val="none"/>
          <w:lang w:val="en-US" w:eastAsia="zh-CN"/>
        </w:rPr>
        <w:t>相关</w:t>
      </w:r>
      <w:r>
        <w:rPr>
          <w:rFonts w:hint="eastAsia" w:ascii="仿宋_GB2312" w:hAnsi="仿宋_GB2312" w:eastAsia="仿宋_GB2312" w:cs="仿宋_GB2312"/>
          <w:color w:val="auto"/>
          <w:kern w:val="0"/>
          <w:sz w:val="28"/>
          <w:szCs w:val="28"/>
          <w:highlight w:val="none"/>
          <w:lang w:eastAsia="zh-CN"/>
        </w:rPr>
        <w:t>费用。</w:t>
      </w:r>
    </w:p>
    <w:p w14:paraId="75502962">
      <w:pPr>
        <w:spacing w:line="360" w:lineRule="auto"/>
        <w:ind w:right="42" w:rightChars="20" w:firstLine="560" w:firstLineChars="200"/>
        <w:jc w:val="left"/>
        <w:rPr>
          <w:rFonts w:hint="eastAsia" w:ascii="仿宋_GB2312" w:hAnsi="仿宋_GB2312" w:eastAsia="仿宋_GB2312" w:cs="仿宋_GB2312"/>
          <w:color w:val="auto"/>
          <w:kern w:val="0"/>
          <w:sz w:val="28"/>
          <w:szCs w:val="28"/>
          <w:highlight w:val="none"/>
          <w:lang w:val="en-US" w:eastAsia="zh-CN"/>
        </w:rPr>
      </w:pPr>
      <w:r>
        <w:rPr>
          <w:rFonts w:hint="eastAsia" w:ascii="仿宋_GB2312" w:hAnsi="仿宋_GB2312" w:eastAsia="仿宋_GB2312" w:cs="仿宋_GB2312"/>
          <w:color w:val="auto"/>
          <w:kern w:val="0"/>
          <w:sz w:val="28"/>
          <w:szCs w:val="28"/>
          <w:highlight w:val="none"/>
          <w:lang w:val="en-US" w:eastAsia="zh-CN"/>
        </w:rPr>
        <w:t>3.出租标的在轨道主业实施阶段仅初步按地下商业相关要求完成了防火分区划分并实施了疏散楼梯的土建结构，取得相应施工图设计文件审查合格证书﹐但未实施建筑工程消防验收相关设施设备，承租方在不影响轨道交通功能需求及运营安全的前提下,须根据自身业态需求进一步深化装修施工图、划分防火分区等方案设计及建设工作，并自行按国家和地方法规及政策要求完善相应审批手续。</w:t>
      </w:r>
    </w:p>
    <w:p w14:paraId="5D00AF9F">
      <w:pPr>
        <w:spacing w:line="360" w:lineRule="auto"/>
        <w:ind w:right="42" w:rightChars="20" w:firstLine="560" w:firstLineChars="200"/>
        <w:jc w:val="left"/>
        <w:rPr>
          <w:rFonts w:hint="eastAsia" w:ascii="仿宋_GB2312" w:hAnsi="仿宋_GB2312" w:eastAsia="仿宋_GB2312" w:cs="仿宋_GB2312"/>
          <w:color w:val="auto"/>
          <w:kern w:val="0"/>
          <w:sz w:val="28"/>
          <w:szCs w:val="28"/>
          <w:highlight w:val="none"/>
          <w:lang w:eastAsia="zh-CN"/>
        </w:rPr>
      </w:pPr>
      <w:r>
        <w:rPr>
          <w:rFonts w:hint="eastAsia" w:ascii="仿宋_GB2312" w:hAnsi="仿宋_GB2312" w:eastAsia="仿宋_GB2312" w:cs="仿宋_GB2312"/>
          <w:color w:val="auto"/>
          <w:kern w:val="0"/>
          <w:sz w:val="28"/>
          <w:szCs w:val="28"/>
          <w:highlight w:val="none"/>
          <w:lang w:val="en-US" w:eastAsia="zh-CN"/>
        </w:rPr>
        <w:t>4.</w:t>
      </w:r>
      <w:r>
        <w:rPr>
          <w:rFonts w:hint="eastAsia" w:ascii="仿宋_GB2312" w:hAnsi="仿宋_GB2312" w:eastAsia="仿宋_GB2312" w:cs="仿宋_GB2312"/>
          <w:color w:val="auto"/>
          <w:kern w:val="0"/>
          <w:sz w:val="28"/>
          <w:szCs w:val="28"/>
          <w:highlight w:val="none"/>
          <w:lang w:eastAsia="zh-CN"/>
        </w:rPr>
        <w:t>如</w:t>
      </w:r>
      <w:r>
        <w:rPr>
          <w:rFonts w:hint="eastAsia" w:ascii="仿宋_GB2312" w:hAnsi="仿宋_GB2312" w:eastAsia="仿宋_GB2312" w:cs="仿宋_GB2312"/>
          <w:color w:val="auto"/>
          <w:kern w:val="0"/>
          <w:sz w:val="28"/>
          <w:szCs w:val="28"/>
          <w:highlight w:val="none"/>
          <w:lang w:val="en-US" w:eastAsia="zh-CN"/>
        </w:rPr>
        <w:t>承租人需对出租人实施的土建结构或设施设备进行拆除或改造，须获得出租人书面同意，由承租人负责实施并承担相应费用。</w:t>
      </w:r>
    </w:p>
    <w:p w14:paraId="6C647F03">
      <w:pPr>
        <w:spacing w:line="360" w:lineRule="auto"/>
        <w:ind w:right="42" w:rightChars="20" w:firstLine="560" w:firstLineChars="200"/>
        <w:jc w:val="left"/>
        <w:rPr>
          <w:rFonts w:hint="eastAsia" w:ascii="仿宋_GB2312" w:hAnsi="仿宋_GB2312" w:eastAsia="仿宋_GB2312" w:cs="仿宋_GB2312"/>
          <w:color w:val="auto"/>
          <w:kern w:val="0"/>
          <w:sz w:val="28"/>
          <w:szCs w:val="28"/>
          <w:highlight w:val="none"/>
          <w:lang w:val="en-US" w:eastAsia="zh-CN"/>
        </w:rPr>
      </w:pPr>
      <w:r>
        <w:rPr>
          <w:rFonts w:hint="eastAsia" w:ascii="仿宋_GB2312" w:hAnsi="仿宋_GB2312" w:eastAsia="仿宋_GB2312" w:cs="仿宋_GB2312"/>
          <w:color w:val="auto"/>
          <w:kern w:val="0"/>
          <w:sz w:val="28"/>
          <w:szCs w:val="28"/>
          <w:highlight w:val="none"/>
          <w:lang w:val="en-US" w:eastAsia="zh-CN"/>
        </w:rPr>
        <w:t>5.本次出租</w:t>
      </w:r>
      <w:r>
        <w:rPr>
          <w:rFonts w:hint="eastAsia" w:ascii="仿宋_GB2312" w:hAnsi="仿宋_GB2312" w:eastAsia="仿宋_GB2312" w:cs="仿宋_GB2312"/>
          <w:color w:val="auto"/>
          <w:kern w:val="0"/>
          <w:sz w:val="28"/>
          <w:szCs w:val="28"/>
          <w:highlight w:val="none"/>
          <w:lang w:eastAsia="zh-CN"/>
        </w:rPr>
        <w:t>标的</w:t>
      </w:r>
      <w:r>
        <w:rPr>
          <w:rFonts w:hint="eastAsia" w:ascii="仿宋_GB2312" w:hAnsi="仿宋_GB2312" w:eastAsia="仿宋_GB2312" w:cs="仿宋_GB2312"/>
          <w:color w:val="auto"/>
          <w:kern w:val="0"/>
          <w:sz w:val="28"/>
          <w:szCs w:val="28"/>
          <w:highlight w:val="none"/>
          <w:lang w:val="en-US" w:eastAsia="zh-CN"/>
        </w:rPr>
        <w:t>已取得的相关行政审批手续有：</w:t>
      </w:r>
    </w:p>
    <w:p w14:paraId="5A4E7F7D">
      <w:pPr>
        <w:spacing w:line="360" w:lineRule="auto"/>
        <w:ind w:right="42" w:rightChars="20" w:firstLine="560" w:firstLineChars="200"/>
        <w:jc w:val="left"/>
        <w:rPr>
          <w:rFonts w:hint="eastAsia" w:ascii="仿宋_GB2312" w:hAnsi="仿宋_GB2312" w:eastAsia="仿宋_GB2312" w:cs="仿宋_GB2312"/>
          <w:color w:val="auto"/>
          <w:kern w:val="0"/>
          <w:sz w:val="28"/>
          <w:szCs w:val="28"/>
          <w:highlight w:val="none"/>
          <w:lang w:val="en-US" w:eastAsia="zh-CN"/>
        </w:rPr>
      </w:pPr>
      <w:r>
        <w:rPr>
          <w:rFonts w:hint="eastAsia" w:ascii="仿宋_GB2312" w:hAnsi="仿宋_GB2312" w:eastAsia="仿宋_GB2312" w:cs="仿宋_GB2312"/>
          <w:color w:val="auto"/>
          <w:kern w:val="0"/>
          <w:sz w:val="28"/>
          <w:szCs w:val="28"/>
          <w:highlight w:val="none"/>
          <w:lang w:val="en-US" w:eastAsia="zh-CN"/>
        </w:rPr>
        <w:t>（1）商业报规总图；</w:t>
      </w:r>
    </w:p>
    <w:p w14:paraId="2E454316">
      <w:pPr>
        <w:spacing w:line="360" w:lineRule="auto"/>
        <w:ind w:right="42" w:rightChars="20" w:firstLine="560" w:firstLineChars="200"/>
        <w:jc w:val="left"/>
        <w:rPr>
          <w:rFonts w:hint="eastAsia" w:ascii="仿宋_GB2312" w:hAnsi="仿宋_GB2312" w:eastAsia="仿宋_GB2312" w:cs="仿宋_GB2312"/>
          <w:color w:val="auto"/>
          <w:kern w:val="0"/>
          <w:sz w:val="28"/>
          <w:szCs w:val="28"/>
          <w:highlight w:val="none"/>
          <w:lang w:val="en-US" w:eastAsia="zh-CN"/>
        </w:rPr>
      </w:pPr>
      <w:r>
        <w:rPr>
          <w:rFonts w:hint="eastAsia" w:ascii="仿宋_GB2312" w:hAnsi="仿宋_GB2312" w:eastAsia="仿宋_GB2312" w:cs="仿宋_GB2312"/>
          <w:color w:val="auto"/>
          <w:kern w:val="0"/>
          <w:sz w:val="28"/>
          <w:szCs w:val="28"/>
          <w:highlight w:val="none"/>
          <w:lang w:val="en-US" w:eastAsia="zh-CN"/>
        </w:rPr>
        <w:t>（2）用地性质变更为商业的国有土地作价出资合同（筑地资合字[2025]002号）；</w:t>
      </w:r>
    </w:p>
    <w:p w14:paraId="3EECAED3">
      <w:pPr>
        <w:spacing w:line="360" w:lineRule="auto"/>
        <w:ind w:right="42" w:rightChars="20" w:firstLine="560" w:firstLineChars="200"/>
        <w:jc w:val="left"/>
        <w:rPr>
          <w:rFonts w:hint="eastAsia" w:ascii="仿宋_GB2312" w:hAnsi="仿宋_GB2312" w:eastAsia="仿宋_GB2312" w:cs="仿宋_GB2312"/>
          <w:color w:val="auto"/>
          <w:kern w:val="0"/>
          <w:sz w:val="28"/>
          <w:szCs w:val="28"/>
          <w:highlight w:val="none"/>
          <w:lang w:val="en-US" w:eastAsia="zh-CN"/>
        </w:rPr>
      </w:pPr>
      <w:r>
        <w:rPr>
          <w:rFonts w:hint="eastAsia" w:ascii="仿宋_GB2312" w:hAnsi="仿宋_GB2312" w:eastAsia="仿宋_GB2312" w:cs="仿宋_GB2312"/>
          <w:color w:val="auto"/>
          <w:kern w:val="0"/>
          <w:sz w:val="28"/>
          <w:szCs w:val="28"/>
          <w:highlight w:val="none"/>
          <w:lang w:val="en-US" w:eastAsia="zh-CN"/>
        </w:rPr>
        <w:t>（3）商业性质的建设用地规划许可证；</w:t>
      </w:r>
    </w:p>
    <w:p w14:paraId="2E351CF6">
      <w:pPr>
        <w:spacing w:line="360" w:lineRule="auto"/>
        <w:ind w:right="42" w:rightChars="20" w:firstLine="560" w:firstLineChars="200"/>
        <w:jc w:val="left"/>
        <w:rPr>
          <w:rFonts w:hint="eastAsia" w:ascii="仿宋_GB2312" w:hAnsi="仿宋_GB2312" w:eastAsia="仿宋_GB2312" w:cs="仿宋_GB2312"/>
          <w:color w:val="auto"/>
          <w:kern w:val="0"/>
          <w:sz w:val="28"/>
          <w:szCs w:val="28"/>
          <w:highlight w:val="none"/>
          <w:lang w:eastAsia="zh-CN"/>
        </w:rPr>
      </w:pPr>
      <w:r>
        <w:rPr>
          <w:rFonts w:hint="eastAsia" w:ascii="仿宋_GB2312" w:hAnsi="仿宋_GB2312" w:eastAsia="仿宋_GB2312" w:cs="仿宋_GB2312"/>
          <w:color w:val="auto"/>
          <w:kern w:val="0"/>
          <w:sz w:val="28"/>
          <w:szCs w:val="28"/>
          <w:highlight w:val="none"/>
          <w:lang w:val="en-US" w:eastAsia="zh-CN"/>
        </w:rPr>
        <w:t>（4）建设工程消防设计审核意见书（筑公消审字[2018]第0497号）</w:t>
      </w:r>
      <w:r>
        <w:rPr>
          <w:rFonts w:hint="eastAsia" w:ascii="仿宋_GB2312" w:hAnsi="仿宋_GB2312" w:eastAsia="仿宋_GB2312" w:cs="仿宋_GB2312"/>
          <w:color w:val="auto"/>
          <w:kern w:val="0"/>
          <w:sz w:val="28"/>
          <w:szCs w:val="28"/>
          <w:highlight w:val="none"/>
          <w:lang w:eastAsia="zh-CN"/>
        </w:rPr>
        <w:t>。</w:t>
      </w:r>
    </w:p>
    <w:p w14:paraId="32E4FEB5">
      <w:pPr>
        <w:autoSpaceDE w:val="0"/>
        <w:autoSpaceDN w:val="0"/>
        <w:adjustRightInd w:val="0"/>
        <w:spacing w:line="240" w:lineRule="auto"/>
        <w:rPr>
          <w:rFonts w:hint="eastAsia" w:ascii="黑体" w:hAnsi="黑体" w:eastAsia="黑体" w:cs="黑体"/>
          <w:b w:val="0"/>
          <w:bCs w:val="0"/>
          <w:color w:val="auto"/>
          <w:kern w:val="2"/>
          <w:sz w:val="28"/>
          <w:szCs w:val="28"/>
          <w:highlight w:val="none"/>
        </w:rPr>
      </w:pPr>
      <w:r>
        <w:rPr>
          <w:rFonts w:hint="eastAsia" w:ascii="黑体" w:hAnsi="黑体" w:eastAsia="黑体" w:cs="黑体"/>
          <w:b w:val="0"/>
          <w:bCs w:val="0"/>
          <w:color w:val="auto"/>
          <w:kern w:val="2"/>
          <w:sz w:val="28"/>
          <w:szCs w:val="28"/>
          <w:highlight w:val="none"/>
        </w:rPr>
        <w:t>租赁用途</w:t>
      </w:r>
    </w:p>
    <w:p w14:paraId="1E9B698D">
      <w:pPr>
        <w:overflowPunct/>
        <w:autoSpaceDE/>
        <w:spacing w:line="360" w:lineRule="auto"/>
        <w:ind w:right="42" w:rightChars="20" w:firstLine="560" w:firstLineChars="200"/>
        <w:jc w:val="left"/>
        <w:rPr>
          <w:rFonts w:hint="eastAsia" w:ascii="仿宋_GB2312" w:hAnsi="仿宋_GB2312" w:eastAsia="仿宋_GB2312" w:cs="仿宋_GB2312"/>
          <w:i w:val="0"/>
          <w:iCs w:val="0"/>
          <w:caps w:val="0"/>
          <w:color w:val="auto"/>
          <w:spacing w:val="0"/>
          <w:kern w:val="0"/>
          <w:sz w:val="28"/>
          <w:szCs w:val="28"/>
          <w:highlight w:val="none"/>
          <w:shd w:val="clear"/>
        </w:rPr>
      </w:pPr>
      <w:r>
        <w:rPr>
          <w:rFonts w:hint="eastAsia" w:ascii="仿宋_GB2312" w:hAnsi="仿宋_GB2312" w:eastAsia="仿宋_GB2312" w:cs="仿宋_GB2312"/>
          <w:color w:val="auto"/>
          <w:kern w:val="0"/>
          <w:sz w:val="28"/>
          <w:szCs w:val="28"/>
          <w:highlight w:val="none"/>
          <w:lang w:val="en-US" w:eastAsia="zh-CN"/>
        </w:rPr>
        <w:t>出租人将出租标的出租给承租人，</w:t>
      </w:r>
      <w:r>
        <w:rPr>
          <w:rFonts w:hint="eastAsia" w:ascii="仿宋_GB2312" w:hAnsi="仿宋_GB2312" w:eastAsia="仿宋_GB2312" w:cs="仿宋_GB2312"/>
          <w:i w:val="0"/>
          <w:iCs w:val="0"/>
          <w:caps w:val="0"/>
          <w:color w:val="auto"/>
          <w:spacing w:val="0"/>
          <w:kern w:val="0"/>
          <w:sz w:val="28"/>
          <w:szCs w:val="28"/>
          <w:highlight w:val="none"/>
          <w:shd w:val="clear"/>
          <w:lang w:eastAsia="zh-CN"/>
        </w:rPr>
        <w:t>承租人</w:t>
      </w:r>
      <w:r>
        <w:rPr>
          <w:rFonts w:hint="eastAsia" w:ascii="仿宋_GB2312" w:hAnsi="仿宋_GB2312" w:eastAsia="仿宋_GB2312" w:cs="仿宋_GB2312"/>
          <w:i w:val="0"/>
          <w:iCs w:val="0"/>
          <w:caps w:val="0"/>
          <w:color w:val="auto"/>
          <w:spacing w:val="0"/>
          <w:kern w:val="0"/>
          <w:sz w:val="28"/>
          <w:szCs w:val="28"/>
          <w:highlight w:val="none"/>
          <w:shd w:val="clear"/>
        </w:rPr>
        <w:t>有权以自身名义在租赁范围内进行商业经营、命名及广告设置，但需遵守法律法规及</w:t>
      </w:r>
      <w:r>
        <w:rPr>
          <w:rFonts w:hint="eastAsia" w:ascii="仿宋_GB2312" w:hAnsi="仿宋_GB2312" w:eastAsia="仿宋_GB2312" w:cs="仿宋_GB2312"/>
          <w:i w:val="0"/>
          <w:iCs w:val="0"/>
          <w:caps w:val="0"/>
          <w:color w:val="auto"/>
          <w:spacing w:val="0"/>
          <w:kern w:val="0"/>
          <w:sz w:val="28"/>
          <w:szCs w:val="28"/>
          <w:highlight w:val="none"/>
          <w:shd w:val="clear"/>
          <w:lang w:eastAsia="zh-CN"/>
        </w:rPr>
        <w:t>出租人</w:t>
      </w:r>
      <w:r>
        <w:rPr>
          <w:rFonts w:hint="eastAsia" w:ascii="仿宋_GB2312" w:hAnsi="仿宋_GB2312" w:eastAsia="仿宋_GB2312" w:cs="仿宋_GB2312"/>
          <w:i w:val="0"/>
          <w:iCs w:val="0"/>
          <w:caps w:val="0"/>
          <w:color w:val="auto"/>
          <w:spacing w:val="0"/>
          <w:kern w:val="0"/>
          <w:sz w:val="28"/>
          <w:szCs w:val="28"/>
          <w:highlight w:val="none"/>
          <w:shd w:val="clear"/>
          <w:lang w:val="en-US" w:eastAsia="zh-CN"/>
        </w:rPr>
        <w:t>的相关管理</w:t>
      </w:r>
      <w:r>
        <w:rPr>
          <w:rFonts w:hint="eastAsia" w:ascii="仿宋_GB2312" w:hAnsi="仿宋_GB2312" w:eastAsia="仿宋_GB2312" w:cs="仿宋_GB2312"/>
          <w:i w:val="0"/>
          <w:iCs w:val="0"/>
          <w:caps w:val="0"/>
          <w:color w:val="auto"/>
          <w:spacing w:val="0"/>
          <w:kern w:val="0"/>
          <w:sz w:val="28"/>
          <w:szCs w:val="28"/>
          <w:highlight w:val="none"/>
          <w:shd w:val="clear"/>
        </w:rPr>
        <w:t>规定，不得损害</w:t>
      </w:r>
      <w:r>
        <w:rPr>
          <w:rFonts w:hint="eastAsia" w:ascii="仿宋_GB2312" w:hAnsi="仿宋_GB2312" w:eastAsia="仿宋_GB2312" w:cs="仿宋_GB2312"/>
          <w:i w:val="0"/>
          <w:iCs w:val="0"/>
          <w:caps w:val="0"/>
          <w:color w:val="auto"/>
          <w:spacing w:val="0"/>
          <w:kern w:val="0"/>
          <w:sz w:val="28"/>
          <w:szCs w:val="28"/>
          <w:highlight w:val="none"/>
          <w:shd w:val="clear"/>
          <w:lang w:eastAsia="zh-CN"/>
        </w:rPr>
        <w:t>出租人</w:t>
      </w:r>
      <w:r>
        <w:rPr>
          <w:rFonts w:hint="eastAsia" w:ascii="仿宋_GB2312" w:hAnsi="仿宋_GB2312" w:eastAsia="仿宋_GB2312" w:cs="仿宋_GB2312"/>
          <w:i w:val="0"/>
          <w:iCs w:val="0"/>
          <w:caps w:val="0"/>
          <w:color w:val="auto"/>
          <w:spacing w:val="0"/>
          <w:kern w:val="0"/>
          <w:sz w:val="28"/>
          <w:szCs w:val="28"/>
          <w:highlight w:val="none"/>
          <w:shd w:val="clear"/>
        </w:rPr>
        <w:t>权益。</w:t>
      </w:r>
      <w:r>
        <w:rPr>
          <w:rFonts w:hint="eastAsia" w:ascii="仿宋_GB2312" w:hAnsi="仿宋_GB2312" w:eastAsia="仿宋_GB2312" w:cs="仿宋_GB2312"/>
          <w:i w:val="0"/>
          <w:iCs w:val="0"/>
          <w:caps w:val="0"/>
          <w:color w:val="auto"/>
          <w:spacing w:val="0"/>
          <w:kern w:val="0"/>
          <w:sz w:val="28"/>
          <w:szCs w:val="28"/>
          <w:highlight w:val="none"/>
          <w:shd w:val="clear"/>
          <w:lang w:eastAsia="zh-CN"/>
        </w:rPr>
        <w:t>承租人</w:t>
      </w:r>
      <w:r>
        <w:rPr>
          <w:rFonts w:hint="eastAsia" w:ascii="仿宋_GB2312" w:hAnsi="仿宋_GB2312" w:eastAsia="仿宋_GB2312" w:cs="仿宋_GB2312"/>
          <w:i w:val="0"/>
          <w:iCs w:val="0"/>
          <w:caps w:val="0"/>
          <w:color w:val="auto"/>
          <w:spacing w:val="0"/>
          <w:kern w:val="0"/>
          <w:sz w:val="28"/>
          <w:szCs w:val="28"/>
          <w:highlight w:val="none"/>
          <w:shd w:val="clear"/>
        </w:rPr>
        <w:t>对经营活动负责并承担</w:t>
      </w:r>
      <w:r>
        <w:rPr>
          <w:rFonts w:hint="eastAsia" w:ascii="仿宋_GB2312" w:hAnsi="仿宋_GB2312" w:eastAsia="仿宋_GB2312" w:cs="仿宋_GB2312"/>
          <w:i w:val="0"/>
          <w:iCs w:val="0"/>
          <w:caps w:val="0"/>
          <w:color w:val="auto"/>
          <w:spacing w:val="0"/>
          <w:kern w:val="0"/>
          <w:sz w:val="28"/>
          <w:szCs w:val="28"/>
          <w:highlight w:val="none"/>
          <w:shd w:val="clear"/>
          <w:lang w:val="en-US" w:eastAsia="zh-CN"/>
        </w:rPr>
        <w:t>相关</w:t>
      </w:r>
      <w:r>
        <w:rPr>
          <w:rFonts w:hint="eastAsia" w:ascii="仿宋_GB2312" w:hAnsi="仿宋_GB2312" w:eastAsia="仿宋_GB2312" w:cs="仿宋_GB2312"/>
          <w:i w:val="0"/>
          <w:iCs w:val="0"/>
          <w:caps w:val="0"/>
          <w:color w:val="auto"/>
          <w:spacing w:val="0"/>
          <w:kern w:val="0"/>
          <w:sz w:val="28"/>
          <w:szCs w:val="28"/>
          <w:highlight w:val="none"/>
          <w:shd w:val="clear"/>
        </w:rPr>
        <w:t>法律责任。</w:t>
      </w:r>
      <w:r>
        <w:rPr>
          <w:rFonts w:hint="eastAsia" w:ascii="仿宋_GB2312" w:hAnsi="仿宋_GB2312" w:eastAsia="仿宋_GB2312" w:cs="仿宋_GB2312"/>
          <w:i w:val="0"/>
          <w:iCs w:val="0"/>
          <w:caps w:val="0"/>
          <w:color w:val="auto"/>
          <w:spacing w:val="0"/>
          <w:kern w:val="0"/>
          <w:sz w:val="28"/>
          <w:szCs w:val="28"/>
          <w:highlight w:val="none"/>
          <w:shd w:val="clear"/>
          <w:lang w:eastAsia="zh-CN"/>
        </w:rPr>
        <w:t>出租人</w:t>
      </w:r>
      <w:r>
        <w:rPr>
          <w:rFonts w:hint="eastAsia" w:ascii="仿宋_GB2312" w:hAnsi="仿宋_GB2312" w:eastAsia="仿宋_GB2312" w:cs="仿宋_GB2312"/>
          <w:i w:val="0"/>
          <w:iCs w:val="0"/>
          <w:caps w:val="0"/>
          <w:color w:val="auto"/>
          <w:spacing w:val="0"/>
          <w:kern w:val="0"/>
          <w:sz w:val="28"/>
          <w:szCs w:val="28"/>
          <w:highlight w:val="none"/>
          <w:shd w:val="clear"/>
        </w:rPr>
        <w:t>有权</w:t>
      </w:r>
      <w:r>
        <w:rPr>
          <w:rFonts w:hint="eastAsia" w:ascii="仿宋_GB2312" w:hAnsi="仿宋_GB2312" w:eastAsia="仿宋_GB2312" w:cs="仿宋_GB2312"/>
          <w:i w:val="0"/>
          <w:iCs w:val="0"/>
          <w:caps w:val="0"/>
          <w:color w:val="auto"/>
          <w:spacing w:val="0"/>
          <w:kern w:val="0"/>
          <w:sz w:val="28"/>
          <w:szCs w:val="28"/>
          <w:highlight w:val="none"/>
          <w:shd w:val="clear"/>
          <w:lang w:val="en-US" w:eastAsia="zh-CN"/>
        </w:rPr>
        <w:t>对承租人的经营和安全生产工作进行</w:t>
      </w:r>
      <w:r>
        <w:rPr>
          <w:rFonts w:hint="eastAsia" w:ascii="仿宋_GB2312" w:hAnsi="仿宋_GB2312" w:eastAsia="仿宋_GB2312" w:cs="仿宋_GB2312"/>
          <w:i w:val="0"/>
          <w:iCs w:val="0"/>
          <w:caps w:val="0"/>
          <w:color w:val="auto"/>
          <w:spacing w:val="0"/>
          <w:kern w:val="0"/>
          <w:sz w:val="28"/>
          <w:szCs w:val="28"/>
          <w:highlight w:val="none"/>
          <w:shd w:val="clear"/>
        </w:rPr>
        <w:t>监督，</w:t>
      </w:r>
      <w:r>
        <w:rPr>
          <w:rFonts w:hint="eastAsia" w:ascii="仿宋_GB2312" w:hAnsi="仿宋_GB2312" w:eastAsia="仿宋_GB2312" w:cs="仿宋_GB2312"/>
          <w:i w:val="0"/>
          <w:iCs w:val="0"/>
          <w:caps w:val="0"/>
          <w:color w:val="auto"/>
          <w:spacing w:val="0"/>
          <w:kern w:val="0"/>
          <w:sz w:val="28"/>
          <w:szCs w:val="28"/>
          <w:highlight w:val="none"/>
          <w:shd w:val="clear"/>
          <w:lang w:val="en-US" w:eastAsia="zh-CN"/>
        </w:rPr>
        <w:t>如</w:t>
      </w:r>
      <w:r>
        <w:rPr>
          <w:rFonts w:hint="eastAsia" w:ascii="仿宋_GB2312" w:hAnsi="仿宋_GB2312" w:eastAsia="仿宋_GB2312" w:cs="仿宋_GB2312"/>
          <w:i w:val="0"/>
          <w:iCs w:val="0"/>
          <w:caps w:val="0"/>
          <w:color w:val="auto"/>
          <w:spacing w:val="0"/>
          <w:kern w:val="0"/>
          <w:sz w:val="28"/>
          <w:szCs w:val="28"/>
          <w:highlight w:val="none"/>
          <w:shd w:val="clear"/>
          <w:lang w:eastAsia="zh-CN"/>
        </w:rPr>
        <w:t>承租人</w:t>
      </w:r>
      <w:r>
        <w:rPr>
          <w:rFonts w:hint="eastAsia" w:ascii="仿宋_GB2312" w:hAnsi="仿宋_GB2312" w:eastAsia="仿宋_GB2312" w:cs="仿宋_GB2312"/>
          <w:i w:val="0"/>
          <w:iCs w:val="0"/>
          <w:caps w:val="0"/>
          <w:color w:val="auto"/>
          <w:spacing w:val="0"/>
          <w:kern w:val="0"/>
          <w:sz w:val="28"/>
          <w:szCs w:val="28"/>
          <w:highlight w:val="none"/>
          <w:shd w:val="clear"/>
        </w:rPr>
        <w:t>违规需</w:t>
      </w:r>
      <w:r>
        <w:rPr>
          <w:rFonts w:hint="eastAsia" w:ascii="仿宋_GB2312" w:hAnsi="仿宋_GB2312" w:eastAsia="仿宋_GB2312" w:cs="仿宋_GB2312"/>
          <w:i w:val="0"/>
          <w:iCs w:val="0"/>
          <w:caps w:val="0"/>
          <w:color w:val="auto"/>
          <w:spacing w:val="0"/>
          <w:kern w:val="0"/>
          <w:sz w:val="28"/>
          <w:szCs w:val="28"/>
          <w:highlight w:val="none"/>
          <w:shd w:val="clear"/>
          <w:lang w:val="en-US" w:eastAsia="zh-CN"/>
        </w:rPr>
        <w:t>及时整改</w:t>
      </w:r>
      <w:r>
        <w:rPr>
          <w:rFonts w:hint="eastAsia" w:ascii="仿宋_GB2312" w:hAnsi="仿宋_GB2312" w:eastAsia="仿宋_GB2312" w:cs="仿宋_GB2312"/>
          <w:i w:val="0"/>
          <w:iCs w:val="0"/>
          <w:caps w:val="0"/>
          <w:color w:val="auto"/>
          <w:spacing w:val="0"/>
          <w:kern w:val="0"/>
          <w:sz w:val="28"/>
          <w:szCs w:val="28"/>
          <w:highlight w:val="none"/>
          <w:shd w:val="clear"/>
          <w:lang w:eastAsia="zh-CN"/>
        </w:rPr>
        <w:t>；</w:t>
      </w:r>
      <w:r>
        <w:rPr>
          <w:rFonts w:hint="eastAsia" w:ascii="仿宋_GB2312" w:hAnsi="仿宋_GB2312" w:eastAsia="仿宋_GB2312" w:cs="仿宋_GB2312"/>
          <w:i w:val="0"/>
          <w:iCs w:val="0"/>
          <w:caps w:val="0"/>
          <w:color w:val="auto"/>
          <w:spacing w:val="0"/>
          <w:kern w:val="0"/>
          <w:sz w:val="28"/>
          <w:szCs w:val="28"/>
          <w:highlight w:val="none"/>
          <w:shd w:val="clear"/>
        </w:rPr>
        <w:t>情节严重</w:t>
      </w:r>
      <w:r>
        <w:rPr>
          <w:rFonts w:hint="eastAsia" w:ascii="仿宋_GB2312" w:hAnsi="仿宋_GB2312" w:eastAsia="仿宋_GB2312" w:cs="仿宋_GB2312"/>
          <w:i w:val="0"/>
          <w:iCs w:val="0"/>
          <w:caps w:val="0"/>
          <w:color w:val="auto"/>
          <w:spacing w:val="0"/>
          <w:kern w:val="0"/>
          <w:sz w:val="28"/>
          <w:szCs w:val="28"/>
          <w:highlight w:val="none"/>
          <w:shd w:val="clear"/>
          <w:lang w:val="en-US" w:eastAsia="zh-CN"/>
        </w:rPr>
        <w:t>且未有效整改的出租人有权</w:t>
      </w:r>
      <w:r>
        <w:rPr>
          <w:rFonts w:hint="eastAsia" w:ascii="仿宋_GB2312" w:hAnsi="仿宋_GB2312" w:eastAsia="仿宋_GB2312" w:cs="仿宋_GB2312"/>
          <w:i w:val="0"/>
          <w:iCs w:val="0"/>
          <w:caps w:val="0"/>
          <w:color w:val="auto"/>
          <w:spacing w:val="0"/>
          <w:kern w:val="0"/>
          <w:sz w:val="28"/>
          <w:szCs w:val="28"/>
          <w:highlight w:val="none"/>
          <w:shd w:val="clear"/>
        </w:rPr>
        <w:t>终止合同并</w:t>
      </w:r>
      <w:r>
        <w:rPr>
          <w:rFonts w:hint="eastAsia" w:ascii="仿宋_GB2312" w:hAnsi="仿宋_GB2312" w:eastAsia="仿宋_GB2312" w:cs="仿宋_GB2312"/>
          <w:i w:val="0"/>
          <w:iCs w:val="0"/>
          <w:caps w:val="0"/>
          <w:color w:val="auto"/>
          <w:spacing w:val="0"/>
          <w:kern w:val="0"/>
          <w:sz w:val="28"/>
          <w:szCs w:val="28"/>
          <w:highlight w:val="none"/>
          <w:shd w:val="clear"/>
          <w:lang w:val="en-US" w:eastAsia="zh-CN"/>
        </w:rPr>
        <w:t>要求承租人承担相应</w:t>
      </w:r>
      <w:r>
        <w:rPr>
          <w:rFonts w:hint="eastAsia" w:ascii="仿宋_GB2312" w:hAnsi="仿宋_GB2312" w:eastAsia="仿宋_GB2312" w:cs="仿宋_GB2312"/>
          <w:i w:val="0"/>
          <w:iCs w:val="0"/>
          <w:caps w:val="0"/>
          <w:color w:val="auto"/>
          <w:spacing w:val="0"/>
          <w:kern w:val="0"/>
          <w:sz w:val="28"/>
          <w:szCs w:val="28"/>
          <w:highlight w:val="none"/>
          <w:shd w:val="clear"/>
        </w:rPr>
        <w:t>赔偿。</w:t>
      </w:r>
      <w:r>
        <w:rPr>
          <w:rFonts w:hint="eastAsia" w:ascii="仿宋_GB2312" w:hAnsi="仿宋_GB2312" w:eastAsia="仿宋_GB2312" w:cs="仿宋_GB2312"/>
          <w:i w:val="0"/>
          <w:iCs w:val="0"/>
          <w:caps w:val="0"/>
          <w:color w:val="auto"/>
          <w:spacing w:val="0"/>
          <w:kern w:val="0"/>
          <w:sz w:val="28"/>
          <w:szCs w:val="28"/>
          <w:highlight w:val="none"/>
          <w:shd w:val="clear"/>
          <w:lang w:eastAsia="zh-CN"/>
        </w:rPr>
        <w:t>承租人</w:t>
      </w:r>
      <w:r>
        <w:rPr>
          <w:rFonts w:hint="eastAsia" w:ascii="仿宋_GB2312" w:hAnsi="仿宋_GB2312" w:eastAsia="仿宋_GB2312" w:cs="仿宋_GB2312"/>
          <w:i w:val="0"/>
          <w:iCs w:val="0"/>
          <w:caps w:val="0"/>
          <w:color w:val="auto"/>
          <w:spacing w:val="0"/>
          <w:kern w:val="0"/>
          <w:sz w:val="28"/>
          <w:szCs w:val="28"/>
          <w:highlight w:val="none"/>
          <w:shd w:val="clear"/>
        </w:rPr>
        <w:t>使用</w:t>
      </w:r>
      <w:r>
        <w:rPr>
          <w:rFonts w:hint="eastAsia" w:ascii="仿宋_GB2312" w:hAnsi="仿宋_GB2312" w:eastAsia="仿宋_GB2312" w:cs="仿宋_GB2312"/>
          <w:i w:val="0"/>
          <w:iCs w:val="0"/>
          <w:caps w:val="0"/>
          <w:color w:val="auto"/>
          <w:spacing w:val="0"/>
          <w:kern w:val="0"/>
          <w:sz w:val="28"/>
          <w:szCs w:val="28"/>
          <w:highlight w:val="none"/>
          <w:shd w:val="clear"/>
          <w:lang w:val="en-US" w:eastAsia="zh-CN"/>
        </w:rPr>
        <w:t>的</w:t>
      </w:r>
      <w:r>
        <w:rPr>
          <w:rFonts w:hint="eastAsia" w:ascii="仿宋_GB2312" w:hAnsi="仿宋_GB2312" w:eastAsia="仿宋_GB2312" w:cs="仿宋_GB2312"/>
          <w:i w:val="0"/>
          <w:iCs w:val="0"/>
          <w:caps w:val="0"/>
          <w:color w:val="auto"/>
          <w:spacing w:val="0"/>
          <w:kern w:val="0"/>
          <w:sz w:val="28"/>
          <w:szCs w:val="28"/>
          <w:highlight w:val="none"/>
          <w:shd w:val="clear"/>
        </w:rPr>
        <w:t>名称和</w:t>
      </w:r>
      <w:r>
        <w:rPr>
          <w:rFonts w:hint="eastAsia" w:ascii="仿宋_GB2312" w:hAnsi="仿宋_GB2312" w:eastAsia="仿宋_GB2312" w:cs="仿宋_GB2312"/>
          <w:i w:val="0"/>
          <w:iCs w:val="0"/>
          <w:caps w:val="0"/>
          <w:color w:val="auto"/>
          <w:spacing w:val="0"/>
          <w:kern w:val="0"/>
          <w:sz w:val="28"/>
          <w:szCs w:val="28"/>
          <w:highlight w:val="none"/>
          <w:shd w:val="clear"/>
          <w:lang w:val="en-US" w:eastAsia="zh-CN"/>
        </w:rPr>
        <w:t>在出租标的内自行对外发布的</w:t>
      </w:r>
      <w:r>
        <w:rPr>
          <w:rFonts w:hint="eastAsia" w:ascii="仿宋_GB2312" w:hAnsi="仿宋_GB2312" w:eastAsia="仿宋_GB2312" w:cs="仿宋_GB2312"/>
          <w:i w:val="0"/>
          <w:iCs w:val="0"/>
          <w:caps w:val="0"/>
          <w:color w:val="auto"/>
          <w:spacing w:val="0"/>
          <w:kern w:val="0"/>
          <w:sz w:val="28"/>
          <w:szCs w:val="28"/>
          <w:highlight w:val="none"/>
          <w:shd w:val="clear"/>
        </w:rPr>
        <w:t>广告需</w:t>
      </w:r>
      <w:r>
        <w:rPr>
          <w:rFonts w:hint="eastAsia" w:ascii="仿宋_GB2312" w:hAnsi="仿宋_GB2312" w:eastAsia="仿宋_GB2312" w:cs="仿宋_GB2312"/>
          <w:i w:val="0"/>
          <w:iCs w:val="0"/>
          <w:caps w:val="0"/>
          <w:color w:val="auto"/>
          <w:spacing w:val="0"/>
          <w:kern w:val="0"/>
          <w:sz w:val="28"/>
          <w:szCs w:val="28"/>
          <w:highlight w:val="none"/>
          <w:shd w:val="clear"/>
          <w:lang w:val="en-US" w:eastAsia="zh-CN"/>
        </w:rPr>
        <w:t>送</w:t>
      </w:r>
      <w:r>
        <w:rPr>
          <w:rFonts w:hint="eastAsia" w:ascii="仿宋_GB2312" w:hAnsi="仿宋_GB2312" w:eastAsia="仿宋_GB2312" w:cs="仿宋_GB2312"/>
          <w:i w:val="0"/>
          <w:iCs w:val="0"/>
          <w:caps w:val="0"/>
          <w:color w:val="auto"/>
          <w:spacing w:val="0"/>
          <w:kern w:val="0"/>
          <w:sz w:val="28"/>
          <w:szCs w:val="28"/>
          <w:highlight w:val="none"/>
          <w:shd w:val="clear"/>
          <w:lang w:eastAsia="zh-CN"/>
        </w:rPr>
        <w:t>出租人</w:t>
      </w:r>
      <w:r>
        <w:rPr>
          <w:rFonts w:hint="eastAsia" w:ascii="仿宋_GB2312" w:hAnsi="仿宋_GB2312" w:eastAsia="仿宋_GB2312" w:cs="仿宋_GB2312"/>
          <w:i w:val="0"/>
          <w:iCs w:val="0"/>
          <w:caps w:val="0"/>
          <w:color w:val="auto"/>
          <w:spacing w:val="0"/>
          <w:kern w:val="0"/>
          <w:sz w:val="28"/>
          <w:szCs w:val="28"/>
          <w:highlight w:val="none"/>
          <w:shd w:val="clear"/>
          <w:lang w:val="en-US" w:eastAsia="zh-CN"/>
        </w:rPr>
        <w:t>审查备案</w:t>
      </w:r>
      <w:r>
        <w:rPr>
          <w:rFonts w:hint="eastAsia" w:ascii="仿宋_GB2312" w:hAnsi="仿宋_GB2312" w:eastAsia="仿宋_GB2312" w:cs="仿宋_GB2312"/>
          <w:i w:val="0"/>
          <w:iCs w:val="0"/>
          <w:caps w:val="0"/>
          <w:color w:val="auto"/>
          <w:spacing w:val="0"/>
          <w:kern w:val="0"/>
          <w:sz w:val="28"/>
          <w:szCs w:val="28"/>
          <w:highlight w:val="none"/>
          <w:shd w:val="clear"/>
        </w:rPr>
        <w:t>，合同终止后应立即撤除相关标识和广告，否则</w:t>
      </w:r>
      <w:r>
        <w:rPr>
          <w:rFonts w:hint="eastAsia" w:ascii="仿宋_GB2312" w:hAnsi="仿宋_GB2312" w:eastAsia="仿宋_GB2312" w:cs="仿宋_GB2312"/>
          <w:i w:val="0"/>
          <w:iCs w:val="0"/>
          <w:caps w:val="0"/>
          <w:color w:val="auto"/>
          <w:spacing w:val="0"/>
          <w:kern w:val="0"/>
          <w:sz w:val="28"/>
          <w:szCs w:val="28"/>
          <w:highlight w:val="none"/>
          <w:shd w:val="clear"/>
          <w:lang w:eastAsia="zh-CN"/>
        </w:rPr>
        <w:t>出租人</w:t>
      </w:r>
      <w:r>
        <w:rPr>
          <w:rFonts w:hint="eastAsia" w:ascii="仿宋_GB2312" w:hAnsi="仿宋_GB2312" w:eastAsia="仿宋_GB2312" w:cs="仿宋_GB2312"/>
          <w:i w:val="0"/>
          <w:iCs w:val="0"/>
          <w:caps w:val="0"/>
          <w:color w:val="auto"/>
          <w:spacing w:val="0"/>
          <w:kern w:val="0"/>
          <w:sz w:val="28"/>
          <w:szCs w:val="28"/>
          <w:highlight w:val="none"/>
          <w:shd w:val="clear"/>
        </w:rPr>
        <w:t>有权</w:t>
      </w:r>
      <w:r>
        <w:rPr>
          <w:rFonts w:hint="eastAsia" w:ascii="仿宋_GB2312" w:hAnsi="仿宋_GB2312" w:eastAsia="仿宋_GB2312" w:cs="仿宋_GB2312"/>
          <w:i w:val="0"/>
          <w:iCs w:val="0"/>
          <w:caps w:val="0"/>
          <w:color w:val="auto"/>
          <w:spacing w:val="0"/>
          <w:kern w:val="0"/>
          <w:sz w:val="28"/>
          <w:szCs w:val="28"/>
          <w:highlight w:val="none"/>
          <w:shd w:val="clear"/>
          <w:lang w:val="en-US" w:eastAsia="zh-CN"/>
        </w:rPr>
        <w:t>自行</w:t>
      </w:r>
      <w:r>
        <w:rPr>
          <w:rFonts w:hint="eastAsia" w:ascii="仿宋_GB2312" w:hAnsi="仿宋_GB2312" w:eastAsia="仿宋_GB2312" w:cs="仿宋_GB2312"/>
          <w:i w:val="0"/>
          <w:iCs w:val="0"/>
          <w:caps w:val="0"/>
          <w:color w:val="auto"/>
          <w:spacing w:val="0"/>
          <w:kern w:val="0"/>
          <w:sz w:val="28"/>
          <w:szCs w:val="28"/>
          <w:highlight w:val="none"/>
          <w:shd w:val="clear"/>
        </w:rPr>
        <w:t>处理并要求</w:t>
      </w:r>
      <w:r>
        <w:rPr>
          <w:rFonts w:hint="eastAsia" w:ascii="仿宋_GB2312" w:hAnsi="仿宋_GB2312" w:eastAsia="仿宋_GB2312" w:cs="仿宋_GB2312"/>
          <w:i w:val="0"/>
          <w:iCs w:val="0"/>
          <w:caps w:val="0"/>
          <w:color w:val="auto"/>
          <w:spacing w:val="0"/>
          <w:kern w:val="0"/>
          <w:sz w:val="28"/>
          <w:szCs w:val="28"/>
          <w:highlight w:val="none"/>
          <w:shd w:val="clear"/>
          <w:lang w:eastAsia="zh-CN"/>
        </w:rPr>
        <w:t>承租人</w:t>
      </w:r>
      <w:r>
        <w:rPr>
          <w:rFonts w:hint="eastAsia" w:ascii="仿宋_GB2312" w:hAnsi="仿宋_GB2312" w:eastAsia="仿宋_GB2312" w:cs="仿宋_GB2312"/>
          <w:i w:val="0"/>
          <w:iCs w:val="0"/>
          <w:caps w:val="0"/>
          <w:color w:val="auto"/>
          <w:spacing w:val="0"/>
          <w:kern w:val="0"/>
          <w:sz w:val="28"/>
          <w:szCs w:val="28"/>
          <w:highlight w:val="none"/>
          <w:shd w:val="clear"/>
        </w:rPr>
        <w:t>承担</w:t>
      </w:r>
      <w:r>
        <w:rPr>
          <w:rFonts w:hint="eastAsia" w:ascii="仿宋_GB2312" w:hAnsi="仿宋_GB2312" w:eastAsia="仿宋_GB2312" w:cs="仿宋_GB2312"/>
          <w:i w:val="0"/>
          <w:iCs w:val="0"/>
          <w:caps w:val="0"/>
          <w:color w:val="auto"/>
          <w:spacing w:val="0"/>
          <w:kern w:val="0"/>
          <w:sz w:val="28"/>
          <w:szCs w:val="28"/>
          <w:highlight w:val="none"/>
          <w:shd w:val="clear"/>
          <w:lang w:val="en-US" w:eastAsia="zh-CN"/>
        </w:rPr>
        <w:t>相应</w:t>
      </w:r>
      <w:r>
        <w:rPr>
          <w:rFonts w:hint="eastAsia" w:ascii="仿宋_GB2312" w:hAnsi="仿宋_GB2312" w:eastAsia="仿宋_GB2312" w:cs="仿宋_GB2312"/>
          <w:i w:val="0"/>
          <w:iCs w:val="0"/>
          <w:caps w:val="0"/>
          <w:color w:val="auto"/>
          <w:spacing w:val="0"/>
          <w:kern w:val="0"/>
          <w:sz w:val="28"/>
          <w:szCs w:val="28"/>
          <w:highlight w:val="none"/>
          <w:shd w:val="clear"/>
        </w:rPr>
        <w:t>费用。</w:t>
      </w:r>
    </w:p>
    <w:p w14:paraId="3011059C">
      <w:pPr>
        <w:spacing w:line="360" w:lineRule="auto"/>
        <w:ind w:right="42" w:rightChars="20" w:firstLine="560" w:firstLineChars="200"/>
        <w:jc w:val="left"/>
        <w:rPr>
          <w:rFonts w:hint="eastAsia" w:ascii="仿宋_GB2312" w:hAnsi="仿宋_GB2312" w:eastAsia="仿宋_GB2312" w:cs="仿宋_GB2312"/>
          <w:color w:val="auto"/>
          <w:kern w:val="0"/>
          <w:sz w:val="28"/>
          <w:szCs w:val="28"/>
          <w:highlight w:val="none"/>
          <w:lang w:val="en-US" w:eastAsia="zh-CN"/>
        </w:rPr>
      </w:pPr>
      <w:r>
        <w:rPr>
          <w:rFonts w:hint="eastAsia" w:ascii="仿宋_GB2312" w:hAnsi="仿宋_GB2312" w:eastAsia="仿宋_GB2312" w:cs="仿宋_GB2312"/>
          <w:color w:val="auto"/>
          <w:kern w:val="0"/>
          <w:sz w:val="28"/>
          <w:szCs w:val="28"/>
          <w:highlight w:val="none"/>
          <w:lang w:val="en-US" w:eastAsia="zh-CN"/>
        </w:rPr>
        <w:t>（一）商业经营</w:t>
      </w:r>
    </w:p>
    <w:p w14:paraId="35150ED5">
      <w:pPr>
        <w:spacing w:line="360" w:lineRule="auto"/>
        <w:ind w:right="42" w:rightChars="20" w:firstLine="560" w:firstLineChars="200"/>
        <w:jc w:val="left"/>
        <w:rPr>
          <w:rFonts w:hint="eastAsia" w:ascii="仿宋_GB2312" w:hAnsi="仿宋_GB2312" w:eastAsia="仿宋_GB2312" w:cs="仿宋_GB2312"/>
          <w:color w:val="auto"/>
          <w:kern w:val="0"/>
          <w:sz w:val="28"/>
          <w:szCs w:val="28"/>
          <w:highlight w:val="none"/>
          <w:lang w:val="en-US" w:eastAsia="zh-CN"/>
        </w:rPr>
      </w:pPr>
      <w:r>
        <w:rPr>
          <w:rFonts w:hint="eastAsia" w:ascii="仿宋_GB2312" w:hAnsi="仿宋_GB2312" w:eastAsia="仿宋_GB2312" w:cs="仿宋_GB2312"/>
          <w:color w:val="auto"/>
          <w:kern w:val="0"/>
          <w:sz w:val="28"/>
          <w:szCs w:val="28"/>
          <w:highlight w:val="none"/>
          <w:lang w:val="en-US" w:eastAsia="zh-CN"/>
        </w:rPr>
        <w:t>出租人授予承租人在经营准备期、租赁期限、租赁经营范围内商业资源使用权利，包括但不限于按照约定进行项目商业资源的规划、建设、经营、维护等。</w:t>
      </w:r>
    </w:p>
    <w:p w14:paraId="7DD52FEB">
      <w:pPr>
        <w:spacing w:line="360" w:lineRule="auto"/>
        <w:ind w:right="42" w:rightChars="20" w:firstLine="560" w:firstLineChars="200"/>
        <w:jc w:val="left"/>
        <w:rPr>
          <w:rFonts w:hint="eastAsia" w:ascii="仿宋_GB2312" w:hAnsi="仿宋_GB2312" w:eastAsia="仿宋_GB2312" w:cs="仿宋_GB2312"/>
          <w:color w:val="auto"/>
          <w:kern w:val="0"/>
          <w:sz w:val="28"/>
          <w:szCs w:val="28"/>
          <w:highlight w:val="none"/>
          <w:lang w:val="en-US" w:eastAsia="zh-CN"/>
        </w:rPr>
      </w:pPr>
      <w:r>
        <w:rPr>
          <w:rFonts w:hint="eastAsia" w:ascii="仿宋_GB2312" w:hAnsi="仿宋_GB2312" w:eastAsia="仿宋_GB2312" w:cs="仿宋_GB2312"/>
          <w:color w:val="auto"/>
          <w:kern w:val="0"/>
          <w:sz w:val="28"/>
          <w:szCs w:val="28"/>
          <w:highlight w:val="none"/>
          <w:lang w:val="en-US" w:eastAsia="zh-CN"/>
        </w:rPr>
        <w:t>（二）命名</w:t>
      </w:r>
    </w:p>
    <w:p w14:paraId="02E0DBB7">
      <w:pPr>
        <w:spacing w:line="360" w:lineRule="auto"/>
        <w:ind w:right="42" w:rightChars="20" w:firstLine="560" w:firstLineChars="200"/>
        <w:jc w:val="left"/>
        <w:rPr>
          <w:rFonts w:hint="eastAsia" w:ascii="仿宋_GB2312" w:hAnsi="仿宋_GB2312" w:eastAsia="仿宋_GB2312" w:cs="仿宋_GB2312"/>
          <w:color w:val="auto"/>
          <w:kern w:val="0"/>
          <w:sz w:val="28"/>
          <w:szCs w:val="28"/>
          <w:highlight w:val="none"/>
          <w:lang w:val="en-US" w:eastAsia="zh-CN"/>
        </w:rPr>
      </w:pPr>
      <w:r>
        <w:rPr>
          <w:rFonts w:hint="eastAsia" w:ascii="仿宋_GB2312" w:hAnsi="仿宋_GB2312" w:eastAsia="仿宋_GB2312" w:cs="仿宋_GB2312"/>
          <w:color w:val="auto"/>
          <w:kern w:val="0"/>
          <w:sz w:val="28"/>
          <w:szCs w:val="28"/>
          <w:highlight w:val="none"/>
          <w:lang w:val="en-US" w:eastAsia="zh-CN"/>
        </w:rPr>
        <w:t>出租人授予承租人在经营准备期、租赁期限、租赁经营范围内出租标的的命名权利。</w:t>
      </w:r>
    </w:p>
    <w:p w14:paraId="491E655A">
      <w:pPr>
        <w:spacing w:line="360" w:lineRule="auto"/>
        <w:ind w:right="42" w:rightChars="20" w:firstLine="560" w:firstLineChars="200"/>
        <w:jc w:val="left"/>
        <w:rPr>
          <w:rFonts w:hint="eastAsia" w:ascii="仿宋_GB2312" w:hAnsi="仿宋_GB2312" w:eastAsia="仿宋_GB2312" w:cs="仿宋_GB2312"/>
          <w:color w:val="auto"/>
          <w:kern w:val="0"/>
          <w:sz w:val="28"/>
          <w:szCs w:val="28"/>
          <w:highlight w:val="none"/>
          <w:lang w:val="en-US" w:eastAsia="zh-CN"/>
        </w:rPr>
      </w:pPr>
      <w:r>
        <w:rPr>
          <w:rFonts w:hint="eastAsia" w:ascii="仿宋_GB2312" w:hAnsi="仿宋_GB2312" w:eastAsia="仿宋_GB2312" w:cs="仿宋_GB2312"/>
          <w:color w:val="auto"/>
          <w:kern w:val="0"/>
          <w:sz w:val="28"/>
          <w:szCs w:val="28"/>
          <w:highlight w:val="none"/>
          <w:lang w:val="en-US" w:eastAsia="zh-CN"/>
        </w:rPr>
        <w:t>（三）广告资源设置</w:t>
      </w:r>
    </w:p>
    <w:p w14:paraId="311B94ED">
      <w:pPr>
        <w:spacing w:line="360" w:lineRule="auto"/>
        <w:ind w:right="42" w:rightChars="20" w:firstLine="560" w:firstLineChars="200"/>
        <w:jc w:val="left"/>
        <w:rPr>
          <w:rFonts w:hint="eastAsia" w:ascii="仿宋_GB2312" w:hAnsi="仿宋_GB2312" w:eastAsia="仿宋_GB2312" w:cs="仿宋_GB2312"/>
          <w:color w:val="auto"/>
          <w:kern w:val="0"/>
          <w:sz w:val="28"/>
          <w:szCs w:val="28"/>
          <w:highlight w:val="none"/>
          <w:lang w:val="en-US" w:eastAsia="zh-CN"/>
        </w:rPr>
      </w:pPr>
      <w:r>
        <w:rPr>
          <w:rFonts w:hint="eastAsia" w:ascii="仿宋_GB2312" w:hAnsi="仿宋_GB2312" w:eastAsia="仿宋_GB2312" w:cs="仿宋_GB2312"/>
          <w:color w:val="auto"/>
          <w:kern w:val="0"/>
          <w:sz w:val="28"/>
          <w:szCs w:val="28"/>
          <w:highlight w:val="none"/>
          <w:lang w:val="en-US" w:eastAsia="zh-CN"/>
        </w:rPr>
        <w:t>1.出租人授予承租人在经营准备期、租赁期限、租赁经营范围内进行广告资源设置和开发使用权利,发布内容仅限于涉及该出租标的商户经营产品或商户相关推广信息。</w:t>
      </w:r>
    </w:p>
    <w:p w14:paraId="0A41C712">
      <w:pPr>
        <w:spacing w:line="360" w:lineRule="auto"/>
        <w:ind w:right="42" w:rightChars="20" w:firstLine="560" w:firstLineChars="200"/>
        <w:jc w:val="left"/>
        <w:rPr>
          <w:rFonts w:hint="default" w:ascii="仿宋_GB2312" w:hAnsi="仿宋_GB2312" w:eastAsia="仿宋_GB2312" w:cs="仿宋_GB2312"/>
          <w:color w:val="auto"/>
          <w:kern w:val="0"/>
          <w:sz w:val="28"/>
          <w:szCs w:val="28"/>
          <w:highlight w:val="none"/>
          <w:lang w:val="en-US" w:eastAsia="zh-CN"/>
        </w:rPr>
      </w:pPr>
      <w:r>
        <w:rPr>
          <w:rFonts w:hint="eastAsia" w:ascii="仿宋_GB2312" w:hAnsi="仿宋_GB2312" w:eastAsia="仿宋_GB2312" w:cs="仿宋_GB2312"/>
          <w:color w:val="auto"/>
          <w:kern w:val="0"/>
          <w:sz w:val="28"/>
          <w:szCs w:val="28"/>
          <w:highlight w:val="none"/>
          <w:lang w:val="en-US" w:eastAsia="zh-CN"/>
        </w:rPr>
        <w:t>2.出租人有权要求承租人在出租标的内发布广告信息，发布量不超过出租标的内建成的各种广告形式总量的30%，发布的信息可包括出租人自身推广信息、公益广告、政府部门安排的宣传内容等，承租人应严格按照要求执行并承担相关广告制作及发布所产生的费用。</w:t>
      </w:r>
    </w:p>
    <w:p w14:paraId="034CBE6F">
      <w:pPr>
        <w:autoSpaceDE w:val="0"/>
        <w:autoSpaceDN w:val="0"/>
        <w:adjustRightInd w:val="0"/>
        <w:spacing w:line="360" w:lineRule="auto"/>
        <w:jc w:val="both"/>
        <w:rPr>
          <w:color w:val="auto"/>
          <w:highlight w:val="none"/>
        </w:rPr>
      </w:pPr>
      <w:bookmarkStart w:id="2" w:name="_GoBack"/>
      <w:bookmarkEnd w:id="2"/>
      <w:bookmarkStart w:id="0" w:name="OLE_LINK2"/>
      <w:r>
        <w:rPr>
          <w:rFonts w:hint="eastAsia" w:ascii="仿宋_GB2312" w:hAnsi="仿宋_GB2312" w:eastAsia="仿宋_GB2312" w:cs="仿宋_GB2312"/>
          <w:b/>
          <w:bCs/>
          <w:color w:val="auto"/>
          <w:kern w:val="0"/>
          <w:sz w:val="28"/>
          <w:szCs w:val="28"/>
          <w:highlight w:val="none"/>
          <w:lang w:val="en-US" w:eastAsia="zh-CN"/>
        </w:rPr>
        <w:t>租</w:t>
      </w:r>
      <w:r>
        <w:rPr>
          <w:rFonts w:hint="eastAsia" w:ascii="仿宋_GB2312" w:hAnsi="仿宋_GB2312" w:eastAsia="仿宋_GB2312" w:cs="仿宋_GB2312"/>
          <w:b/>
          <w:bCs/>
          <w:color w:val="auto"/>
          <w:kern w:val="0"/>
          <w:sz w:val="28"/>
          <w:szCs w:val="28"/>
          <w:highlight w:val="none"/>
        </w:rPr>
        <w:t>金占比表</w:t>
      </w:r>
    </w:p>
    <w:bookmarkEnd w:id="0"/>
    <w:tbl>
      <w:tblPr>
        <w:tblStyle w:val="2"/>
        <w:tblW w:w="4279" w:type="pct"/>
        <w:jc w:val="center"/>
        <w:tblBorders>
          <w:top w:val="single" w:color="auto" w:sz="4" w:space="0"/>
          <w:left w:val="single" w:color="auto" w:sz="4" w:space="0"/>
          <w:bottom w:val="single" w:color="auto" w:sz="4" w:space="0"/>
          <w:right w:val="single" w:color="auto" w:sz="4" w:space="0"/>
          <w:insideH w:val="none" w:color="auto" w:sz="4" w:space="0"/>
          <w:insideV w:val="none" w:color="auto" w:sz="4" w:space="0"/>
        </w:tblBorders>
        <w:tblLayout w:type="fixed"/>
        <w:tblCellMar>
          <w:top w:w="0" w:type="dxa"/>
          <w:left w:w="108" w:type="dxa"/>
          <w:bottom w:w="0" w:type="dxa"/>
          <w:right w:w="108" w:type="dxa"/>
        </w:tblCellMar>
      </w:tblPr>
      <w:tblGrid>
        <w:gridCol w:w="1343"/>
        <w:gridCol w:w="1190"/>
        <w:gridCol w:w="1190"/>
        <w:gridCol w:w="1190"/>
        <w:gridCol w:w="1190"/>
        <w:gridCol w:w="1192"/>
      </w:tblGrid>
      <w:tr w14:paraId="18E02F21">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8" w:type="dxa"/>
            <w:bottom w:w="0" w:type="dxa"/>
            <w:right w:w="108" w:type="dxa"/>
          </w:tblCellMar>
        </w:tblPrEx>
        <w:trPr>
          <w:trHeight w:val="325" w:hRule="atLeast"/>
          <w:jc w:val="center"/>
        </w:trPr>
        <w:tc>
          <w:tcPr>
            <w:tcW w:w="920" w:type="pct"/>
            <w:vMerge w:val="restart"/>
            <w:tcBorders>
              <w:left w:val="single" w:color="auto" w:sz="4" w:space="0"/>
              <w:bottom w:val="single" w:color="auto" w:sz="4" w:space="0"/>
              <w:right w:val="single" w:color="auto" w:sz="4" w:space="0"/>
            </w:tcBorders>
            <w:shd w:val="clear" w:color="auto" w:fill="auto"/>
            <w:noWrap/>
            <w:vAlign w:val="center"/>
          </w:tcPr>
          <w:p w14:paraId="55C08740">
            <w:pPr>
              <w:widowControl/>
              <w:jc w:val="center"/>
              <w:textAlignment w:val="center"/>
              <w:rPr>
                <w:rFonts w:hint="eastAsia" w:ascii="宋体" w:hAnsi="宋体" w:eastAsia="宋体" w:cs="宋体"/>
                <w:color w:val="auto"/>
                <w:kern w:val="0"/>
                <w:sz w:val="18"/>
                <w:szCs w:val="18"/>
                <w:highlight w:val="none"/>
                <w:lang w:bidi="ar"/>
              </w:rPr>
            </w:pPr>
            <w:r>
              <w:rPr>
                <w:rFonts w:hint="eastAsia" w:ascii="宋体" w:hAnsi="宋体" w:eastAsia="宋体" w:cs="宋体"/>
                <w:color w:val="auto"/>
                <w:kern w:val="0"/>
                <w:sz w:val="18"/>
                <w:szCs w:val="18"/>
                <w:highlight w:val="none"/>
                <w:lang w:val="en-US" w:eastAsia="zh-CN" w:bidi="ar"/>
              </w:rPr>
              <w:t>站点</w:t>
            </w:r>
          </w:p>
        </w:tc>
        <w:tc>
          <w:tcPr>
            <w:tcW w:w="4079" w:type="pct"/>
            <w:gridSpan w:val="5"/>
            <w:tcBorders>
              <w:left w:val="single" w:color="auto" w:sz="4" w:space="0"/>
              <w:bottom w:val="single" w:color="auto" w:sz="4" w:space="0"/>
              <w:right w:val="single" w:color="auto" w:sz="4" w:space="0"/>
            </w:tcBorders>
            <w:shd w:val="clear" w:color="auto" w:fill="auto"/>
            <w:noWrap/>
            <w:vAlign w:val="center"/>
          </w:tcPr>
          <w:p w14:paraId="7A2C29C4">
            <w:pPr>
              <w:widowControl/>
              <w:jc w:val="center"/>
              <w:textAlignment w:val="center"/>
              <w:rPr>
                <w:rFonts w:hint="eastAsia" w:ascii="宋体" w:hAnsi="宋体" w:eastAsia="宋体" w:cs="宋体"/>
                <w:color w:val="auto"/>
                <w:kern w:val="0"/>
                <w:sz w:val="18"/>
                <w:szCs w:val="18"/>
                <w:highlight w:val="none"/>
                <w:lang w:bidi="ar"/>
              </w:rPr>
            </w:pPr>
            <w:r>
              <w:rPr>
                <w:rFonts w:hint="eastAsia" w:ascii="宋体" w:hAnsi="宋体" w:eastAsia="宋体" w:cs="宋体"/>
                <w:color w:val="auto"/>
                <w:kern w:val="0"/>
                <w:sz w:val="18"/>
                <w:szCs w:val="18"/>
                <w:highlight w:val="none"/>
                <w:lang w:bidi="ar"/>
              </w:rPr>
              <w:t>占该站成交价的价值占比</w:t>
            </w:r>
          </w:p>
        </w:tc>
      </w:tr>
      <w:tr w14:paraId="30D71425">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8" w:type="dxa"/>
            <w:bottom w:w="0" w:type="dxa"/>
            <w:right w:w="108" w:type="dxa"/>
          </w:tblCellMar>
        </w:tblPrEx>
        <w:trPr>
          <w:trHeight w:val="325" w:hRule="atLeast"/>
          <w:jc w:val="center"/>
        </w:trPr>
        <w:tc>
          <w:tcPr>
            <w:tcW w:w="920" w:type="pct"/>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14:paraId="2ACA702A">
            <w:pPr>
              <w:jc w:val="center"/>
              <w:rPr>
                <w:rFonts w:hint="eastAsia" w:ascii="宋体" w:hAnsi="宋体" w:eastAsia="宋体" w:cs="宋体"/>
                <w:color w:val="auto"/>
                <w:sz w:val="18"/>
                <w:szCs w:val="18"/>
                <w:highlight w:val="none"/>
              </w:rPr>
            </w:pPr>
          </w:p>
        </w:tc>
        <w:tc>
          <w:tcPr>
            <w:tcW w:w="815" w:type="pct"/>
            <w:tcBorders>
              <w:top w:val="single" w:color="auto" w:sz="4" w:space="0"/>
              <w:left w:val="single" w:color="auto" w:sz="4" w:space="0"/>
              <w:bottom w:val="single" w:color="auto" w:sz="4" w:space="0"/>
              <w:right w:val="single" w:color="auto" w:sz="4" w:space="0"/>
            </w:tcBorders>
            <w:shd w:val="clear" w:color="auto" w:fill="auto"/>
            <w:vAlign w:val="center"/>
          </w:tcPr>
          <w:p w14:paraId="4C00F1A2">
            <w:pPr>
              <w:widowControl/>
              <w:jc w:val="center"/>
              <w:textAlignment w:val="center"/>
              <w:rPr>
                <w:rFonts w:hint="eastAsia" w:ascii="宋体" w:hAnsi="宋体" w:eastAsia="宋体" w:cs="宋体"/>
                <w:color w:val="auto"/>
                <w:kern w:val="0"/>
                <w:sz w:val="18"/>
                <w:szCs w:val="18"/>
                <w:highlight w:val="none"/>
                <w:lang w:bidi="ar"/>
              </w:rPr>
            </w:pPr>
            <w:r>
              <w:rPr>
                <w:rFonts w:hint="eastAsia" w:ascii="宋体" w:hAnsi="宋体" w:eastAsia="宋体" w:cs="宋体"/>
                <w:color w:val="auto"/>
                <w:kern w:val="0"/>
                <w:sz w:val="18"/>
                <w:szCs w:val="18"/>
                <w:highlight w:val="none"/>
                <w:lang w:val="en-US" w:eastAsia="zh-CN" w:bidi="ar"/>
              </w:rPr>
              <w:t>第一年</w:t>
            </w:r>
          </w:p>
        </w:tc>
        <w:tc>
          <w:tcPr>
            <w:tcW w:w="815" w:type="pct"/>
            <w:tcBorders>
              <w:top w:val="single" w:color="auto" w:sz="4" w:space="0"/>
              <w:left w:val="single" w:color="auto" w:sz="4" w:space="0"/>
              <w:bottom w:val="single" w:color="auto" w:sz="4" w:space="0"/>
              <w:right w:val="single" w:color="auto" w:sz="4" w:space="0"/>
            </w:tcBorders>
            <w:shd w:val="clear" w:color="auto" w:fill="auto"/>
            <w:vAlign w:val="center"/>
          </w:tcPr>
          <w:p w14:paraId="367C4E82">
            <w:pPr>
              <w:widowControl/>
              <w:jc w:val="center"/>
              <w:textAlignment w:val="center"/>
              <w:rPr>
                <w:rFonts w:hint="eastAsia" w:ascii="宋体" w:hAnsi="宋体" w:eastAsia="宋体" w:cs="宋体"/>
                <w:color w:val="auto"/>
                <w:kern w:val="0"/>
                <w:sz w:val="18"/>
                <w:szCs w:val="18"/>
                <w:highlight w:val="none"/>
                <w:lang w:val="en-US" w:eastAsia="zh-CN" w:bidi="ar"/>
              </w:rPr>
            </w:pPr>
            <w:r>
              <w:rPr>
                <w:rFonts w:hint="eastAsia" w:ascii="宋体" w:hAnsi="宋体" w:eastAsia="宋体" w:cs="宋体"/>
                <w:color w:val="auto"/>
                <w:kern w:val="0"/>
                <w:sz w:val="18"/>
                <w:szCs w:val="18"/>
                <w:highlight w:val="none"/>
                <w:lang w:val="en-US" w:eastAsia="zh-CN" w:bidi="ar"/>
              </w:rPr>
              <w:t>第二年</w:t>
            </w:r>
          </w:p>
        </w:tc>
        <w:tc>
          <w:tcPr>
            <w:tcW w:w="815" w:type="pct"/>
            <w:tcBorders>
              <w:top w:val="single" w:color="auto" w:sz="4" w:space="0"/>
              <w:left w:val="single" w:color="auto" w:sz="4" w:space="0"/>
              <w:bottom w:val="single" w:color="auto" w:sz="4" w:space="0"/>
              <w:right w:val="single" w:color="auto" w:sz="4" w:space="0"/>
            </w:tcBorders>
            <w:shd w:val="clear" w:color="auto" w:fill="auto"/>
            <w:vAlign w:val="center"/>
          </w:tcPr>
          <w:p w14:paraId="5C1B302F">
            <w:pPr>
              <w:widowControl/>
              <w:jc w:val="center"/>
              <w:textAlignment w:val="center"/>
              <w:rPr>
                <w:rFonts w:hint="eastAsia" w:ascii="宋体" w:hAnsi="宋体" w:eastAsia="宋体" w:cs="宋体"/>
                <w:color w:val="auto"/>
                <w:kern w:val="0"/>
                <w:sz w:val="18"/>
                <w:szCs w:val="18"/>
                <w:highlight w:val="none"/>
                <w:lang w:val="en-US" w:eastAsia="zh-CN" w:bidi="ar"/>
              </w:rPr>
            </w:pPr>
            <w:r>
              <w:rPr>
                <w:rFonts w:hint="eastAsia" w:ascii="宋体" w:hAnsi="宋体" w:eastAsia="宋体" w:cs="宋体"/>
                <w:color w:val="auto"/>
                <w:kern w:val="0"/>
                <w:sz w:val="18"/>
                <w:szCs w:val="18"/>
                <w:highlight w:val="none"/>
                <w:lang w:val="en-US" w:eastAsia="zh-CN" w:bidi="ar"/>
              </w:rPr>
              <w:t>第三年</w:t>
            </w:r>
          </w:p>
        </w:tc>
        <w:tc>
          <w:tcPr>
            <w:tcW w:w="815" w:type="pct"/>
            <w:tcBorders>
              <w:top w:val="single" w:color="auto" w:sz="4" w:space="0"/>
              <w:left w:val="single" w:color="auto" w:sz="4" w:space="0"/>
              <w:bottom w:val="single" w:color="auto" w:sz="4" w:space="0"/>
              <w:right w:val="single" w:color="auto" w:sz="4" w:space="0"/>
            </w:tcBorders>
            <w:shd w:val="clear" w:color="auto" w:fill="auto"/>
            <w:vAlign w:val="center"/>
          </w:tcPr>
          <w:p w14:paraId="2E0BBDF5">
            <w:pPr>
              <w:widowControl/>
              <w:jc w:val="center"/>
              <w:textAlignment w:val="center"/>
              <w:rPr>
                <w:rFonts w:hint="eastAsia" w:ascii="宋体" w:hAnsi="宋体" w:eastAsia="宋体" w:cs="宋体"/>
                <w:color w:val="auto"/>
                <w:kern w:val="0"/>
                <w:sz w:val="18"/>
                <w:szCs w:val="18"/>
                <w:highlight w:val="none"/>
                <w:lang w:val="en-US" w:eastAsia="zh-CN" w:bidi="ar"/>
              </w:rPr>
            </w:pPr>
            <w:r>
              <w:rPr>
                <w:rFonts w:hint="eastAsia" w:ascii="宋体" w:hAnsi="宋体" w:eastAsia="宋体" w:cs="宋体"/>
                <w:color w:val="auto"/>
                <w:kern w:val="0"/>
                <w:sz w:val="18"/>
                <w:szCs w:val="18"/>
                <w:highlight w:val="none"/>
                <w:lang w:val="en-US" w:eastAsia="zh-CN" w:bidi="ar"/>
              </w:rPr>
              <w:t>第四年</w:t>
            </w:r>
          </w:p>
        </w:tc>
        <w:tc>
          <w:tcPr>
            <w:tcW w:w="817" w:type="pct"/>
            <w:tcBorders>
              <w:top w:val="single" w:color="auto" w:sz="4" w:space="0"/>
              <w:left w:val="single" w:color="auto" w:sz="4" w:space="0"/>
              <w:bottom w:val="single" w:color="auto" w:sz="4" w:space="0"/>
              <w:right w:val="single" w:color="auto" w:sz="4" w:space="0"/>
            </w:tcBorders>
            <w:shd w:val="clear" w:color="auto" w:fill="auto"/>
            <w:vAlign w:val="center"/>
          </w:tcPr>
          <w:p w14:paraId="31590E61">
            <w:pPr>
              <w:widowControl/>
              <w:jc w:val="center"/>
              <w:textAlignment w:val="center"/>
              <w:rPr>
                <w:rFonts w:hint="eastAsia" w:ascii="宋体" w:hAnsi="宋体" w:eastAsia="宋体" w:cs="宋体"/>
                <w:color w:val="auto"/>
                <w:kern w:val="0"/>
                <w:sz w:val="18"/>
                <w:szCs w:val="18"/>
                <w:highlight w:val="none"/>
                <w:lang w:val="en-US" w:eastAsia="zh-CN" w:bidi="ar"/>
              </w:rPr>
            </w:pPr>
            <w:r>
              <w:rPr>
                <w:rFonts w:hint="eastAsia" w:ascii="宋体" w:hAnsi="宋体" w:eastAsia="宋体" w:cs="宋体"/>
                <w:color w:val="auto"/>
                <w:kern w:val="0"/>
                <w:sz w:val="18"/>
                <w:szCs w:val="18"/>
                <w:highlight w:val="none"/>
                <w:lang w:val="en-US" w:eastAsia="zh-CN" w:bidi="ar"/>
              </w:rPr>
              <w:t>第五年</w:t>
            </w:r>
          </w:p>
        </w:tc>
      </w:tr>
      <w:tr w14:paraId="2EC1A9FE">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8" w:type="dxa"/>
            <w:bottom w:w="0" w:type="dxa"/>
            <w:right w:w="108" w:type="dxa"/>
          </w:tblCellMar>
        </w:tblPrEx>
        <w:trPr>
          <w:trHeight w:val="325" w:hRule="atLeast"/>
          <w:jc w:val="center"/>
        </w:trPr>
        <w:tc>
          <w:tcPr>
            <w:tcW w:w="920"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20A90A39">
            <w:pPr>
              <w:widowControl/>
              <w:jc w:val="center"/>
              <w:textAlignment w:val="center"/>
              <w:rPr>
                <w:rFonts w:hint="eastAsia" w:ascii="宋体" w:hAnsi="宋体" w:eastAsia="宋体" w:cs="宋体"/>
                <w:color w:val="auto"/>
                <w:kern w:val="0"/>
                <w:sz w:val="18"/>
                <w:szCs w:val="18"/>
                <w:highlight w:val="none"/>
                <w:lang w:bidi="ar"/>
              </w:rPr>
            </w:pPr>
          </w:p>
        </w:tc>
        <w:tc>
          <w:tcPr>
            <w:tcW w:w="815" w:type="pct"/>
            <w:tcBorders>
              <w:top w:val="single" w:color="auto" w:sz="4" w:space="0"/>
              <w:left w:val="single" w:color="auto" w:sz="4" w:space="0"/>
              <w:bottom w:val="single" w:color="auto" w:sz="4" w:space="0"/>
              <w:right w:val="single" w:color="auto" w:sz="4" w:space="0"/>
            </w:tcBorders>
            <w:shd w:val="clear" w:color="auto" w:fill="auto"/>
            <w:vAlign w:val="top"/>
          </w:tcPr>
          <w:p w14:paraId="4BB85D75">
            <w:pPr>
              <w:keepNext w:val="0"/>
              <w:keepLines w:val="0"/>
              <w:widowControl/>
              <w:suppressLineNumbers w:val="0"/>
              <w:jc w:val="center"/>
              <w:textAlignment w:val="center"/>
              <w:rPr>
                <w:rFonts w:hint="eastAsia" w:ascii="宋体" w:hAnsi="宋体" w:eastAsia="宋体" w:cs="宋体"/>
                <w:color w:val="auto"/>
                <w:kern w:val="0"/>
                <w:sz w:val="18"/>
                <w:szCs w:val="18"/>
                <w:highlight w:val="none"/>
                <w:lang w:bidi="ar"/>
              </w:rPr>
            </w:pPr>
            <w:r>
              <w:rPr>
                <w:rFonts w:hint="eastAsia" w:ascii="宋体" w:hAnsi="宋体" w:eastAsia="宋体" w:cs="宋体"/>
                <w:i w:val="0"/>
                <w:iCs w:val="0"/>
                <w:color w:val="auto"/>
                <w:kern w:val="0"/>
                <w:sz w:val="18"/>
                <w:szCs w:val="18"/>
                <w:highlight w:val="none"/>
                <w:u w:val="none"/>
                <w:lang w:val="en-US" w:eastAsia="zh-CN" w:bidi="ar"/>
              </w:rPr>
              <w:t>9.00%</w:t>
            </w:r>
          </w:p>
        </w:tc>
        <w:tc>
          <w:tcPr>
            <w:tcW w:w="815" w:type="pct"/>
            <w:tcBorders>
              <w:top w:val="single" w:color="auto" w:sz="4" w:space="0"/>
              <w:left w:val="single" w:color="auto" w:sz="4" w:space="0"/>
              <w:bottom w:val="single" w:color="auto" w:sz="4" w:space="0"/>
              <w:right w:val="single" w:color="auto" w:sz="4" w:space="0"/>
            </w:tcBorders>
            <w:shd w:val="clear" w:color="auto" w:fill="auto"/>
            <w:vAlign w:val="top"/>
          </w:tcPr>
          <w:p w14:paraId="6A4BA50E">
            <w:pPr>
              <w:keepNext w:val="0"/>
              <w:keepLines w:val="0"/>
              <w:widowControl/>
              <w:suppressLineNumbers w:val="0"/>
              <w:jc w:val="center"/>
              <w:textAlignment w:val="center"/>
              <w:rPr>
                <w:rFonts w:hint="eastAsia" w:ascii="宋体" w:hAnsi="宋体" w:eastAsia="宋体" w:cs="宋体"/>
                <w:color w:val="auto"/>
                <w:kern w:val="0"/>
                <w:sz w:val="18"/>
                <w:szCs w:val="18"/>
                <w:highlight w:val="none"/>
                <w:lang w:val="en-US" w:eastAsia="zh-CN" w:bidi="ar"/>
              </w:rPr>
            </w:pPr>
            <w:r>
              <w:rPr>
                <w:rFonts w:hint="eastAsia" w:ascii="宋体" w:hAnsi="宋体" w:eastAsia="宋体" w:cs="宋体"/>
                <w:i w:val="0"/>
                <w:iCs w:val="0"/>
                <w:color w:val="auto"/>
                <w:kern w:val="0"/>
                <w:sz w:val="18"/>
                <w:szCs w:val="18"/>
                <w:highlight w:val="none"/>
                <w:u w:val="none"/>
                <w:lang w:val="en-US" w:eastAsia="zh-CN" w:bidi="ar"/>
              </w:rPr>
              <w:t>9.00%</w:t>
            </w:r>
          </w:p>
        </w:tc>
        <w:tc>
          <w:tcPr>
            <w:tcW w:w="815" w:type="pct"/>
            <w:tcBorders>
              <w:top w:val="single" w:color="auto" w:sz="4" w:space="0"/>
              <w:left w:val="single" w:color="auto" w:sz="4" w:space="0"/>
              <w:bottom w:val="single" w:color="auto" w:sz="4" w:space="0"/>
              <w:right w:val="single" w:color="auto" w:sz="4" w:space="0"/>
            </w:tcBorders>
            <w:shd w:val="clear" w:color="auto" w:fill="auto"/>
            <w:vAlign w:val="top"/>
          </w:tcPr>
          <w:p w14:paraId="25ACA770">
            <w:pPr>
              <w:keepNext w:val="0"/>
              <w:keepLines w:val="0"/>
              <w:widowControl/>
              <w:suppressLineNumbers w:val="0"/>
              <w:jc w:val="center"/>
              <w:textAlignment w:val="center"/>
              <w:rPr>
                <w:rFonts w:hint="eastAsia" w:ascii="宋体" w:hAnsi="宋体" w:eastAsia="宋体" w:cs="宋体"/>
                <w:color w:val="auto"/>
                <w:kern w:val="0"/>
                <w:sz w:val="18"/>
                <w:szCs w:val="18"/>
                <w:highlight w:val="none"/>
                <w:lang w:val="en-US" w:eastAsia="zh-CN" w:bidi="ar"/>
              </w:rPr>
            </w:pPr>
            <w:r>
              <w:rPr>
                <w:rFonts w:hint="eastAsia" w:ascii="宋体" w:hAnsi="宋体" w:eastAsia="宋体" w:cs="宋体"/>
                <w:i w:val="0"/>
                <w:iCs w:val="0"/>
                <w:color w:val="auto"/>
                <w:kern w:val="0"/>
                <w:sz w:val="18"/>
                <w:szCs w:val="18"/>
                <w:highlight w:val="none"/>
                <w:u w:val="none"/>
                <w:lang w:val="en-US" w:eastAsia="zh-CN" w:bidi="ar"/>
              </w:rPr>
              <w:t>9.00%</w:t>
            </w:r>
          </w:p>
        </w:tc>
        <w:tc>
          <w:tcPr>
            <w:tcW w:w="815" w:type="pct"/>
            <w:tcBorders>
              <w:top w:val="single" w:color="auto" w:sz="4" w:space="0"/>
              <w:left w:val="single" w:color="auto" w:sz="4" w:space="0"/>
              <w:bottom w:val="single" w:color="auto" w:sz="4" w:space="0"/>
              <w:right w:val="single" w:color="auto" w:sz="4" w:space="0"/>
            </w:tcBorders>
            <w:shd w:val="clear" w:color="auto" w:fill="auto"/>
            <w:vAlign w:val="top"/>
          </w:tcPr>
          <w:p w14:paraId="6FC41130">
            <w:pPr>
              <w:keepNext w:val="0"/>
              <w:keepLines w:val="0"/>
              <w:widowControl/>
              <w:suppressLineNumbers w:val="0"/>
              <w:jc w:val="center"/>
              <w:textAlignment w:val="center"/>
              <w:rPr>
                <w:rFonts w:hint="eastAsia" w:ascii="宋体" w:hAnsi="宋体" w:eastAsia="宋体" w:cs="宋体"/>
                <w:color w:val="auto"/>
                <w:kern w:val="0"/>
                <w:sz w:val="18"/>
                <w:szCs w:val="18"/>
                <w:highlight w:val="none"/>
                <w:u w:val="none"/>
                <w:lang w:val="en-US" w:eastAsia="zh-CN" w:bidi="ar"/>
              </w:rPr>
            </w:pPr>
            <w:r>
              <w:rPr>
                <w:rFonts w:hint="eastAsia" w:ascii="宋体" w:hAnsi="宋体" w:eastAsia="宋体" w:cs="宋体"/>
                <w:i w:val="0"/>
                <w:iCs w:val="0"/>
                <w:color w:val="auto"/>
                <w:kern w:val="0"/>
                <w:sz w:val="18"/>
                <w:szCs w:val="18"/>
                <w:highlight w:val="none"/>
                <w:u w:val="none"/>
                <w:lang w:val="en-US" w:eastAsia="zh-CN" w:bidi="ar"/>
              </w:rPr>
              <w:t>9.27%</w:t>
            </w:r>
          </w:p>
        </w:tc>
        <w:tc>
          <w:tcPr>
            <w:tcW w:w="817" w:type="pct"/>
            <w:tcBorders>
              <w:top w:val="single" w:color="auto" w:sz="4" w:space="0"/>
              <w:left w:val="single" w:color="auto" w:sz="4" w:space="0"/>
              <w:bottom w:val="single" w:color="auto" w:sz="4" w:space="0"/>
              <w:right w:val="single" w:color="auto" w:sz="4" w:space="0"/>
            </w:tcBorders>
            <w:shd w:val="clear" w:color="auto" w:fill="auto"/>
            <w:vAlign w:val="top"/>
          </w:tcPr>
          <w:p w14:paraId="4A80EF6F">
            <w:pPr>
              <w:keepNext w:val="0"/>
              <w:keepLines w:val="0"/>
              <w:widowControl/>
              <w:suppressLineNumbers w:val="0"/>
              <w:jc w:val="center"/>
              <w:textAlignment w:val="center"/>
              <w:rPr>
                <w:rFonts w:hint="eastAsia" w:ascii="宋体" w:hAnsi="宋体" w:eastAsia="宋体" w:cs="宋体"/>
                <w:color w:val="auto"/>
                <w:kern w:val="0"/>
                <w:sz w:val="18"/>
                <w:szCs w:val="18"/>
                <w:highlight w:val="none"/>
                <w:u w:val="none"/>
                <w:lang w:val="en-US" w:eastAsia="zh-CN" w:bidi="ar"/>
              </w:rPr>
            </w:pPr>
            <w:r>
              <w:rPr>
                <w:rFonts w:hint="eastAsia" w:ascii="宋体" w:hAnsi="宋体" w:eastAsia="宋体" w:cs="宋体"/>
                <w:i w:val="0"/>
                <w:iCs w:val="0"/>
                <w:color w:val="auto"/>
                <w:kern w:val="0"/>
                <w:sz w:val="18"/>
                <w:szCs w:val="18"/>
                <w:highlight w:val="none"/>
                <w:u w:val="none"/>
                <w:lang w:val="en-US" w:eastAsia="zh-CN" w:bidi="ar"/>
              </w:rPr>
              <w:t>9.55%</w:t>
            </w:r>
          </w:p>
        </w:tc>
      </w:tr>
      <w:tr w14:paraId="63D2AEA9">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8" w:type="dxa"/>
            <w:bottom w:w="0" w:type="dxa"/>
            <w:right w:w="108" w:type="dxa"/>
          </w:tblCellMar>
        </w:tblPrEx>
        <w:trPr>
          <w:trHeight w:val="325" w:hRule="atLeast"/>
          <w:jc w:val="center"/>
        </w:trPr>
        <w:tc>
          <w:tcPr>
            <w:tcW w:w="920"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75265D78">
            <w:pPr>
              <w:widowControl/>
              <w:jc w:val="center"/>
              <w:textAlignment w:val="center"/>
              <w:rPr>
                <w:rFonts w:hint="eastAsia" w:ascii="宋体" w:hAnsi="宋体" w:eastAsia="宋体" w:cs="宋体"/>
                <w:color w:val="auto"/>
                <w:kern w:val="0"/>
                <w:sz w:val="18"/>
                <w:szCs w:val="18"/>
                <w:highlight w:val="none"/>
                <w:lang w:val="en-US" w:eastAsia="zh-CN" w:bidi="ar"/>
              </w:rPr>
            </w:pPr>
            <w:r>
              <w:rPr>
                <w:rFonts w:hint="eastAsia" w:ascii="宋体" w:hAnsi="宋体" w:eastAsia="宋体" w:cs="宋体"/>
                <w:color w:val="auto"/>
                <w:kern w:val="0"/>
                <w:sz w:val="18"/>
                <w:szCs w:val="18"/>
                <w:highlight w:val="none"/>
                <w:lang w:val="en-US" w:eastAsia="zh-CN" w:bidi="ar"/>
              </w:rPr>
              <w:t>贵阳火车站</w:t>
            </w:r>
          </w:p>
        </w:tc>
        <w:tc>
          <w:tcPr>
            <w:tcW w:w="815" w:type="pct"/>
            <w:tcBorders>
              <w:top w:val="single" w:color="auto" w:sz="4" w:space="0"/>
              <w:left w:val="single" w:color="auto" w:sz="4" w:space="0"/>
              <w:bottom w:val="single" w:color="auto" w:sz="4" w:space="0"/>
              <w:right w:val="single" w:color="auto" w:sz="4" w:space="0"/>
            </w:tcBorders>
            <w:shd w:val="clear" w:color="auto" w:fill="auto"/>
            <w:vAlign w:val="center"/>
          </w:tcPr>
          <w:p w14:paraId="4A8430A7">
            <w:pPr>
              <w:widowControl/>
              <w:jc w:val="center"/>
              <w:textAlignment w:val="center"/>
              <w:rPr>
                <w:rFonts w:hint="eastAsia" w:ascii="宋体" w:hAnsi="宋体" w:eastAsia="宋体" w:cs="宋体"/>
                <w:color w:val="auto"/>
                <w:kern w:val="0"/>
                <w:sz w:val="18"/>
                <w:szCs w:val="18"/>
                <w:highlight w:val="none"/>
                <w:lang w:bidi="ar"/>
              </w:rPr>
            </w:pPr>
            <w:r>
              <w:rPr>
                <w:rFonts w:hint="eastAsia" w:ascii="宋体" w:hAnsi="宋体" w:eastAsia="宋体" w:cs="宋体"/>
                <w:color w:val="auto"/>
                <w:kern w:val="0"/>
                <w:sz w:val="18"/>
                <w:szCs w:val="18"/>
                <w:highlight w:val="none"/>
                <w:lang w:val="en-US" w:eastAsia="zh-CN" w:bidi="ar"/>
              </w:rPr>
              <w:t>第六年</w:t>
            </w:r>
          </w:p>
        </w:tc>
        <w:tc>
          <w:tcPr>
            <w:tcW w:w="815" w:type="pct"/>
            <w:tcBorders>
              <w:top w:val="single" w:color="auto" w:sz="4" w:space="0"/>
              <w:left w:val="single" w:color="auto" w:sz="4" w:space="0"/>
              <w:bottom w:val="single" w:color="auto" w:sz="4" w:space="0"/>
              <w:right w:val="single" w:color="auto" w:sz="4" w:space="0"/>
            </w:tcBorders>
            <w:shd w:val="clear" w:color="auto" w:fill="auto"/>
            <w:vAlign w:val="center"/>
          </w:tcPr>
          <w:p w14:paraId="04F7FDB3">
            <w:pPr>
              <w:widowControl/>
              <w:jc w:val="center"/>
              <w:textAlignment w:val="center"/>
              <w:rPr>
                <w:rFonts w:hint="eastAsia" w:ascii="宋体" w:hAnsi="宋体" w:eastAsia="宋体" w:cs="宋体"/>
                <w:color w:val="auto"/>
                <w:kern w:val="0"/>
                <w:sz w:val="18"/>
                <w:szCs w:val="18"/>
                <w:highlight w:val="none"/>
                <w:lang w:val="en-US" w:eastAsia="zh-CN" w:bidi="ar"/>
              </w:rPr>
            </w:pPr>
            <w:r>
              <w:rPr>
                <w:rFonts w:hint="eastAsia" w:ascii="宋体" w:hAnsi="宋体" w:eastAsia="宋体" w:cs="宋体"/>
                <w:color w:val="auto"/>
                <w:kern w:val="0"/>
                <w:sz w:val="18"/>
                <w:szCs w:val="18"/>
                <w:highlight w:val="none"/>
                <w:lang w:val="en-US" w:eastAsia="zh-CN" w:bidi="ar"/>
              </w:rPr>
              <w:t>第七年</w:t>
            </w:r>
          </w:p>
        </w:tc>
        <w:tc>
          <w:tcPr>
            <w:tcW w:w="815" w:type="pct"/>
            <w:tcBorders>
              <w:top w:val="single" w:color="auto" w:sz="4" w:space="0"/>
              <w:left w:val="single" w:color="auto" w:sz="4" w:space="0"/>
              <w:bottom w:val="single" w:color="auto" w:sz="4" w:space="0"/>
              <w:right w:val="single" w:color="auto" w:sz="4" w:space="0"/>
            </w:tcBorders>
            <w:shd w:val="clear" w:color="auto" w:fill="auto"/>
            <w:vAlign w:val="center"/>
          </w:tcPr>
          <w:p w14:paraId="1BF85F0F">
            <w:pPr>
              <w:widowControl/>
              <w:jc w:val="center"/>
              <w:textAlignment w:val="center"/>
              <w:rPr>
                <w:rFonts w:hint="eastAsia" w:ascii="宋体" w:hAnsi="宋体" w:eastAsia="宋体" w:cs="宋体"/>
                <w:color w:val="auto"/>
                <w:kern w:val="0"/>
                <w:sz w:val="18"/>
                <w:szCs w:val="18"/>
                <w:highlight w:val="none"/>
                <w:lang w:val="en-US" w:eastAsia="zh-CN" w:bidi="ar"/>
              </w:rPr>
            </w:pPr>
            <w:r>
              <w:rPr>
                <w:rFonts w:hint="eastAsia" w:ascii="宋体" w:hAnsi="宋体" w:eastAsia="宋体" w:cs="宋体"/>
                <w:color w:val="auto"/>
                <w:kern w:val="0"/>
                <w:sz w:val="18"/>
                <w:szCs w:val="18"/>
                <w:highlight w:val="none"/>
                <w:lang w:val="en-US" w:eastAsia="zh-CN" w:bidi="ar"/>
              </w:rPr>
              <w:t>第八年</w:t>
            </w:r>
          </w:p>
        </w:tc>
        <w:tc>
          <w:tcPr>
            <w:tcW w:w="815" w:type="pct"/>
            <w:tcBorders>
              <w:top w:val="single" w:color="auto" w:sz="4" w:space="0"/>
              <w:left w:val="single" w:color="auto" w:sz="4" w:space="0"/>
              <w:bottom w:val="single" w:color="auto" w:sz="4" w:space="0"/>
              <w:right w:val="single" w:color="auto" w:sz="4" w:space="0"/>
            </w:tcBorders>
            <w:shd w:val="clear" w:color="auto" w:fill="auto"/>
            <w:vAlign w:val="center"/>
          </w:tcPr>
          <w:p w14:paraId="1D30E167">
            <w:pPr>
              <w:widowControl/>
              <w:jc w:val="center"/>
              <w:textAlignment w:val="center"/>
              <w:rPr>
                <w:rFonts w:hint="eastAsia" w:ascii="宋体" w:hAnsi="宋体" w:eastAsia="宋体" w:cs="宋体"/>
                <w:color w:val="auto"/>
                <w:kern w:val="0"/>
                <w:sz w:val="18"/>
                <w:szCs w:val="18"/>
                <w:highlight w:val="none"/>
                <w:lang w:val="en-US" w:eastAsia="zh-CN" w:bidi="ar"/>
              </w:rPr>
            </w:pPr>
            <w:r>
              <w:rPr>
                <w:rFonts w:hint="eastAsia" w:ascii="宋体" w:hAnsi="宋体" w:eastAsia="宋体" w:cs="宋体"/>
                <w:color w:val="auto"/>
                <w:kern w:val="0"/>
                <w:sz w:val="18"/>
                <w:szCs w:val="18"/>
                <w:highlight w:val="none"/>
                <w:lang w:val="en-US" w:eastAsia="zh-CN" w:bidi="ar"/>
              </w:rPr>
              <w:t>第九年</w:t>
            </w:r>
          </w:p>
        </w:tc>
        <w:tc>
          <w:tcPr>
            <w:tcW w:w="817" w:type="pct"/>
            <w:tcBorders>
              <w:top w:val="single" w:color="auto" w:sz="4" w:space="0"/>
              <w:left w:val="single" w:color="auto" w:sz="4" w:space="0"/>
              <w:bottom w:val="single" w:color="auto" w:sz="4" w:space="0"/>
              <w:right w:val="single" w:color="auto" w:sz="4" w:space="0"/>
            </w:tcBorders>
            <w:shd w:val="clear" w:color="auto" w:fill="auto"/>
            <w:vAlign w:val="center"/>
          </w:tcPr>
          <w:p w14:paraId="0FC464C9">
            <w:pPr>
              <w:widowControl/>
              <w:jc w:val="center"/>
              <w:textAlignment w:val="center"/>
              <w:rPr>
                <w:rFonts w:hint="eastAsia" w:ascii="宋体" w:hAnsi="宋体" w:eastAsia="宋体" w:cs="宋体"/>
                <w:color w:val="auto"/>
                <w:kern w:val="0"/>
                <w:sz w:val="18"/>
                <w:szCs w:val="18"/>
                <w:highlight w:val="none"/>
                <w:lang w:val="en-US" w:eastAsia="zh-CN" w:bidi="ar"/>
              </w:rPr>
            </w:pPr>
            <w:r>
              <w:rPr>
                <w:rFonts w:hint="eastAsia" w:ascii="宋体" w:hAnsi="宋体" w:eastAsia="宋体" w:cs="宋体"/>
                <w:color w:val="auto"/>
                <w:kern w:val="0"/>
                <w:sz w:val="18"/>
                <w:szCs w:val="18"/>
                <w:highlight w:val="none"/>
                <w:lang w:val="en-US" w:eastAsia="zh-CN" w:bidi="ar"/>
              </w:rPr>
              <w:t>第十年</w:t>
            </w:r>
          </w:p>
        </w:tc>
      </w:tr>
      <w:tr w14:paraId="656AD61D">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8" w:type="dxa"/>
            <w:bottom w:w="0" w:type="dxa"/>
            <w:right w:w="108" w:type="dxa"/>
          </w:tblCellMar>
        </w:tblPrEx>
        <w:trPr>
          <w:trHeight w:val="335" w:hRule="atLeast"/>
          <w:jc w:val="center"/>
        </w:trPr>
        <w:tc>
          <w:tcPr>
            <w:tcW w:w="920"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47976E6D">
            <w:pPr>
              <w:widowControl/>
              <w:jc w:val="center"/>
              <w:textAlignment w:val="center"/>
              <w:rPr>
                <w:rFonts w:hint="eastAsia" w:ascii="宋体" w:hAnsi="宋体" w:eastAsia="宋体" w:cs="宋体"/>
                <w:color w:val="auto"/>
                <w:kern w:val="0"/>
                <w:sz w:val="18"/>
                <w:szCs w:val="18"/>
                <w:highlight w:val="none"/>
                <w:lang w:val="en-US" w:eastAsia="zh-CN" w:bidi="ar"/>
              </w:rPr>
            </w:pPr>
          </w:p>
        </w:tc>
        <w:tc>
          <w:tcPr>
            <w:tcW w:w="815" w:type="pct"/>
            <w:tcBorders>
              <w:top w:val="single" w:color="auto" w:sz="4" w:space="0"/>
              <w:left w:val="single" w:color="auto" w:sz="4" w:space="0"/>
              <w:bottom w:val="single" w:color="auto" w:sz="4" w:space="0"/>
              <w:right w:val="single" w:color="auto" w:sz="4" w:space="0"/>
            </w:tcBorders>
            <w:shd w:val="clear" w:color="auto" w:fill="auto"/>
            <w:vAlign w:val="top"/>
          </w:tcPr>
          <w:p w14:paraId="0A7CBB77">
            <w:pPr>
              <w:keepNext w:val="0"/>
              <w:keepLines w:val="0"/>
              <w:widowControl/>
              <w:suppressLineNumbers w:val="0"/>
              <w:jc w:val="center"/>
              <w:textAlignment w:val="center"/>
              <w:rPr>
                <w:rFonts w:hint="eastAsia" w:ascii="宋体" w:hAnsi="宋体" w:eastAsia="宋体" w:cs="宋体"/>
                <w:color w:val="auto"/>
                <w:kern w:val="0"/>
                <w:sz w:val="18"/>
                <w:szCs w:val="18"/>
                <w:highlight w:val="none"/>
                <w:lang w:bidi="ar"/>
              </w:rPr>
            </w:pPr>
            <w:r>
              <w:rPr>
                <w:rFonts w:hint="eastAsia" w:ascii="宋体" w:hAnsi="宋体" w:eastAsia="宋体" w:cs="宋体"/>
                <w:i w:val="0"/>
                <w:iCs w:val="0"/>
                <w:color w:val="auto"/>
                <w:kern w:val="0"/>
                <w:sz w:val="18"/>
                <w:szCs w:val="18"/>
                <w:highlight w:val="none"/>
                <w:u w:val="none"/>
                <w:lang w:val="en-US" w:eastAsia="zh-CN" w:bidi="ar"/>
              </w:rPr>
              <w:t>9.84%</w:t>
            </w:r>
          </w:p>
        </w:tc>
        <w:tc>
          <w:tcPr>
            <w:tcW w:w="815" w:type="pct"/>
            <w:tcBorders>
              <w:top w:val="single" w:color="auto" w:sz="4" w:space="0"/>
              <w:left w:val="single" w:color="auto" w:sz="4" w:space="0"/>
              <w:bottom w:val="single" w:color="auto" w:sz="4" w:space="0"/>
              <w:right w:val="single" w:color="auto" w:sz="4" w:space="0"/>
            </w:tcBorders>
            <w:shd w:val="clear" w:color="auto" w:fill="auto"/>
            <w:vAlign w:val="top"/>
          </w:tcPr>
          <w:p w14:paraId="0C71ECED">
            <w:pPr>
              <w:keepNext w:val="0"/>
              <w:keepLines w:val="0"/>
              <w:widowControl/>
              <w:suppressLineNumbers w:val="0"/>
              <w:jc w:val="center"/>
              <w:textAlignment w:val="center"/>
              <w:rPr>
                <w:rFonts w:hint="eastAsia" w:ascii="宋体" w:hAnsi="宋体" w:eastAsia="宋体" w:cs="宋体"/>
                <w:color w:val="auto"/>
                <w:kern w:val="0"/>
                <w:sz w:val="18"/>
                <w:szCs w:val="18"/>
                <w:highlight w:val="none"/>
                <w:lang w:val="en-US" w:eastAsia="zh-CN" w:bidi="ar"/>
              </w:rPr>
            </w:pPr>
            <w:r>
              <w:rPr>
                <w:rFonts w:hint="eastAsia" w:ascii="宋体" w:hAnsi="宋体" w:eastAsia="宋体" w:cs="宋体"/>
                <w:i w:val="0"/>
                <w:iCs w:val="0"/>
                <w:color w:val="auto"/>
                <w:kern w:val="0"/>
                <w:sz w:val="18"/>
                <w:szCs w:val="18"/>
                <w:highlight w:val="none"/>
                <w:u w:val="none"/>
                <w:lang w:val="en-US" w:eastAsia="zh-CN" w:bidi="ar"/>
              </w:rPr>
              <w:t>10.33%</w:t>
            </w:r>
          </w:p>
        </w:tc>
        <w:tc>
          <w:tcPr>
            <w:tcW w:w="815" w:type="pct"/>
            <w:tcBorders>
              <w:top w:val="single" w:color="auto" w:sz="4" w:space="0"/>
              <w:left w:val="single" w:color="auto" w:sz="4" w:space="0"/>
              <w:bottom w:val="single" w:color="auto" w:sz="4" w:space="0"/>
              <w:right w:val="single" w:color="auto" w:sz="4" w:space="0"/>
            </w:tcBorders>
            <w:shd w:val="clear" w:color="auto" w:fill="auto"/>
            <w:vAlign w:val="top"/>
          </w:tcPr>
          <w:p w14:paraId="60609C6F">
            <w:pPr>
              <w:keepNext w:val="0"/>
              <w:keepLines w:val="0"/>
              <w:widowControl/>
              <w:suppressLineNumbers w:val="0"/>
              <w:jc w:val="center"/>
              <w:textAlignment w:val="center"/>
              <w:rPr>
                <w:rFonts w:hint="eastAsia" w:ascii="宋体" w:hAnsi="宋体" w:eastAsia="宋体" w:cs="宋体"/>
                <w:color w:val="auto"/>
                <w:kern w:val="0"/>
                <w:sz w:val="18"/>
                <w:szCs w:val="18"/>
                <w:highlight w:val="none"/>
                <w:lang w:val="en-US" w:eastAsia="zh-CN" w:bidi="ar"/>
              </w:rPr>
            </w:pPr>
            <w:r>
              <w:rPr>
                <w:rFonts w:hint="eastAsia" w:ascii="宋体" w:hAnsi="宋体" w:eastAsia="宋体" w:cs="宋体"/>
                <w:i w:val="0"/>
                <w:iCs w:val="0"/>
                <w:color w:val="auto"/>
                <w:kern w:val="0"/>
                <w:sz w:val="18"/>
                <w:szCs w:val="18"/>
                <w:highlight w:val="none"/>
                <w:u w:val="none"/>
                <w:lang w:val="en-US" w:eastAsia="zh-CN" w:bidi="ar"/>
              </w:rPr>
              <w:t>10.85%</w:t>
            </w:r>
          </w:p>
        </w:tc>
        <w:tc>
          <w:tcPr>
            <w:tcW w:w="815" w:type="pct"/>
            <w:tcBorders>
              <w:top w:val="single" w:color="auto" w:sz="4" w:space="0"/>
              <w:left w:val="single" w:color="auto" w:sz="4" w:space="0"/>
              <w:bottom w:val="single" w:color="auto" w:sz="4" w:space="0"/>
              <w:right w:val="single" w:color="auto" w:sz="4" w:space="0"/>
            </w:tcBorders>
            <w:shd w:val="clear" w:color="auto" w:fill="auto"/>
            <w:vAlign w:val="top"/>
          </w:tcPr>
          <w:p w14:paraId="474967CD">
            <w:pPr>
              <w:keepNext w:val="0"/>
              <w:keepLines w:val="0"/>
              <w:widowControl/>
              <w:suppressLineNumbers w:val="0"/>
              <w:jc w:val="center"/>
              <w:textAlignment w:val="center"/>
              <w:rPr>
                <w:rFonts w:hint="eastAsia" w:ascii="宋体" w:hAnsi="宋体" w:eastAsia="宋体" w:cs="宋体"/>
                <w:color w:val="auto"/>
                <w:kern w:val="0"/>
                <w:sz w:val="18"/>
                <w:szCs w:val="18"/>
                <w:highlight w:val="none"/>
                <w:lang w:val="en-US" w:eastAsia="zh-CN" w:bidi="ar"/>
              </w:rPr>
            </w:pPr>
            <w:r>
              <w:rPr>
                <w:rFonts w:hint="eastAsia" w:ascii="宋体" w:hAnsi="宋体" w:eastAsia="宋体" w:cs="宋体"/>
                <w:i w:val="0"/>
                <w:iCs w:val="0"/>
                <w:color w:val="auto"/>
                <w:kern w:val="0"/>
                <w:sz w:val="18"/>
                <w:szCs w:val="18"/>
                <w:highlight w:val="none"/>
                <w:u w:val="none"/>
                <w:lang w:val="en-US" w:eastAsia="zh-CN" w:bidi="ar"/>
              </w:rPr>
              <w:t>11.39%</w:t>
            </w:r>
          </w:p>
        </w:tc>
        <w:tc>
          <w:tcPr>
            <w:tcW w:w="817" w:type="pct"/>
            <w:tcBorders>
              <w:top w:val="single" w:color="auto" w:sz="4" w:space="0"/>
              <w:left w:val="single" w:color="auto" w:sz="4" w:space="0"/>
              <w:bottom w:val="single" w:color="auto" w:sz="4" w:space="0"/>
              <w:right w:val="single" w:color="auto" w:sz="4" w:space="0"/>
            </w:tcBorders>
            <w:shd w:val="clear" w:color="auto" w:fill="auto"/>
            <w:vAlign w:val="top"/>
          </w:tcPr>
          <w:p w14:paraId="2F2D5D9A">
            <w:pPr>
              <w:keepNext w:val="0"/>
              <w:keepLines w:val="0"/>
              <w:widowControl/>
              <w:suppressLineNumbers w:val="0"/>
              <w:jc w:val="center"/>
              <w:textAlignment w:val="center"/>
              <w:rPr>
                <w:rFonts w:hint="eastAsia" w:ascii="宋体" w:hAnsi="宋体" w:eastAsia="宋体" w:cs="宋体"/>
                <w:color w:val="auto"/>
                <w:kern w:val="0"/>
                <w:sz w:val="18"/>
                <w:szCs w:val="18"/>
                <w:highlight w:val="none"/>
                <w:lang w:val="en-US" w:eastAsia="zh-CN" w:bidi="ar"/>
              </w:rPr>
            </w:pPr>
            <w:r>
              <w:rPr>
                <w:rFonts w:hint="eastAsia" w:ascii="宋体" w:hAnsi="宋体" w:eastAsia="宋体" w:cs="宋体"/>
                <w:i w:val="0"/>
                <w:iCs w:val="0"/>
                <w:color w:val="auto"/>
                <w:kern w:val="0"/>
                <w:sz w:val="18"/>
                <w:szCs w:val="18"/>
                <w:highlight w:val="none"/>
                <w:u w:val="none"/>
                <w:lang w:val="en-US" w:eastAsia="zh-CN" w:bidi="ar"/>
              </w:rPr>
              <w:t>11.77%</w:t>
            </w:r>
          </w:p>
        </w:tc>
      </w:tr>
    </w:tbl>
    <w:p w14:paraId="12C8B792">
      <w:pPr>
        <w:autoSpaceDE w:val="0"/>
        <w:autoSpaceDN w:val="0"/>
        <w:adjustRightInd w:val="0"/>
        <w:spacing w:line="240" w:lineRule="auto"/>
        <w:rPr>
          <w:rFonts w:hint="eastAsia" w:ascii="黑体" w:hAnsi="黑体" w:eastAsia="黑体" w:cs="黑体"/>
          <w:b w:val="0"/>
          <w:bCs w:val="0"/>
          <w:color w:val="auto"/>
          <w:kern w:val="2"/>
          <w:sz w:val="28"/>
          <w:szCs w:val="28"/>
          <w:highlight w:val="none"/>
        </w:rPr>
      </w:pPr>
    </w:p>
    <w:p w14:paraId="35447CD6">
      <w:pPr>
        <w:autoSpaceDE w:val="0"/>
        <w:autoSpaceDN w:val="0"/>
        <w:adjustRightInd w:val="0"/>
        <w:spacing w:line="240" w:lineRule="auto"/>
        <w:rPr>
          <w:rFonts w:hint="eastAsia" w:ascii="黑体" w:hAnsi="黑体" w:eastAsia="黑体" w:cs="黑体"/>
          <w:b w:val="0"/>
          <w:bCs w:val="0"/>
          <w:color w:val="auto"/>
          <w:kern w:val="2"/>
          <w:sz w:val="28"/>
          <w:szCs w:val="28"/>
          <w:highlight w:val="none"/>
        </w:rPr>
      </w:pPr>
      <w:r>
        <w:rPr>
          <w:rFonts w:hint="eastAsia" w:ascii="黑体" w:hAnsi="黑体" w:eastAsia="黑体" w:cs="黑体"/>
          <w:b w:val="0"/>
          <w:bCs w:val="0"/>
          <w:color w:val="auto"/>
          <w:kern w:val="2"/>
          <w:sz w:val="28"/>
          <w:szCs w:val="28"/>
          <w:highlight w:val="none"/>
        </w:rPr>
        <w:t>意向承租人资质条件</w:t>
      </w:r>
    </w:p>
    <w:p w14:paraId="4BA759E4">
      <w:pPr>
        <w:numPr>
          <w:ilvl w:val="0"/>
          <w:numId w:val="0"/>
        </w:numPr>
        <w:spacing w:line="360" w:lineRule="auto"/>
        <w:ind w:right="42" w:rightChars="20" w:firstLine="560" w:firstLineChars="200"/>
        <w:jc w:val="left"/>
        <w:outlineLvl w:val="9"/>
        <w:rPr>
          <w:rFonts w:hint="eastAsia" w:ascii="仿宋_GB2312" w:hAnsi="仿宋_GB2312" w:eastAsia="仿宋_GB2312" w:cs="仿宋_GB2312"/>
          <w:color w:val="auto"/>
          <w:kern w:val="0"/>
          <w:sz w:val="28"/>
          <w:szCs w:val="28"/>
          <w:highlight w:val="none"/>
          <w:lang w:val="en-US" w:eastAsia="zh-CN"/>
        </w:rPr>
      </w:pPr>
      <w:r>
        <w:rPr>
          <w:rFonts w:hint="eastAsia" w:ascii="仿宋_GB2312" w:hAnsi="仿宋_GB2312" w:eastAsia="仿宋_GB2312" w:cs="仿宋_GB2312"/>
          <w:color w:val="auto"/>
          <w:kern w:val="0"/>
          <w:sz w:val="28"/>
          <w:szCs w:val="28"/>
          <w:highlight w:val="none"/>
          <w:lang w:val="en-US" w:eastAsia="zh-CN"/>
        </w:rPr>
        <w:t>（一）意向承租人必须是</w:t>
      </w:r>
      <w:r>
        <w:rPr>
          <w:rFonts w:hint="eastAsia" w:ascii="仿宋_GB2312" w:hAnsi="仿宋_GB2312" w:eastAsia="仿宋_GB2312" w:cs="仿宋_GB2312"/>
          <w:color w:val="auto"/>
          <w:kern w:val="0"/>
          <w:sz w:val="28"/>
          <w:szCs w:val="28"/>
          <w:highlight w:val="none"/>
        </w:rPr>
        <w:t>在中华人民共和国境内（不含港、澳、台地区）依法设立且有效存续的法人实体。</w:t>
      </w:r>
    </w:p>
    <w:p w14:paraId="768D2BAB">
      <w:pPr>
        <w:numPr>
          <w:ilvl w:val="0"/>
          <w:numId w:val="0"/>
        </w:numPr>
        <w:ind w:right="42" w:rightChars="20" w:firstLine="0" w:firstLineChars="0"/>
        <w:jc w:val="left"/>
        <w:outlineLvl w:val="9"/>
        <w:rPr>
          <w:rFonts w:hint="eastAsia" w:ascii="仿宋_GB2312" w:hAnsi="仿宋_GB2312" w:eastAsia="仿宋_GB2312" w:cs="仿宋_GB2312"/>
          <w:color w:val="auto"/>
          <w:kern w:val="0"/>
          <w:sz w:val="28"/>
          <w:szCs w:val="28"/>
          <w:highlight w:val="none"/>
          <w:lang w:val="en-US" w:eastAsia="zh-CN"/>
        </w:rPr>
      </w:pPr>
      <w:r>
        <w:rPr>
          <w:rFonts w:hint="eastAsia" w:ascii="仿宋_GB2312" w:hAnsi="仿宋_GB2312" w:eastAsia="仿宋_GB2312" w:cs="仿宋_GB2312"/>
          <w:color w:val="auto"/>
          <w:kern w:val="0"/>
          <w:sz w:val="28"/>
          <w:szCs w:val="28"/>
          <w:highlight w:val="none"/>
          <w:lang w:val="en-US" w:eastAsia="zh-CN"/>
        </w:rPr>
        <w:t>（二）意向承租人相关业态经营管理经验，报名时需提交拟经营业态及同业态经营或管理证明文件。（执行标准：拟经营业态应满足相关规范要求和轨道交通运营管理安全需求；业态经营管理形式包含自营、承租或受委托管理等；意向承租人可提供相应合同或相关受托人出具的书面证明材料，自营项目需提供营业执照或其他能证明物业经营体量的相关材料）。</w:t>
      </w:r>
    </w:p>
    <w:p w14:paraId="25FDD54F">
      <w:pPr>
        <w:numPr>
          <w:ilvl w:val="0"/>
          <w:numId w:val="0"/>
        </w:numPr>
        <w:ind w:right="42" w:rightChars="20" w:firstLine="0" w:firstLineChars="0"/>
        <w:jc w:val="center"/>
        <w:outlineLvl w:val="9"/>
        <w:rPr>
          <w:rFonts w:hint="eastAsia" w:ascii="仿宋_GB2312" w:hAnsi="仿宋_GB2312" w:eastAsia="仿宋_GB2312" w:cs="仿宋_GB2312"/>
          <w:b/>
          <w:bCs/>
          <w:color w:val="auto"/>
          <w:kern w:val="0"/>
          <w:sz w:val="28"/>
          <w:szCs w:val="28"/>
          <w:highlight w:val="none"/>
          <w:lang w:val="en-US" w:eastAsia="zh-CN"/>
        </w:rPr>
      </w:pPr>
      <w:r>
        <w:rPr>
          <w:rFonts w:hint="eastAsia" w:ascii="仿宋_GB2312" w:hAnsi="仿宋_GB2312" w:eastAsia="仿宋_GB2312" w:cs="仿宋_GB2312"/>
          <w:b/>
          <w:bCs/>
          <w:color w:val="auto"/>
          <w:kern w:val="0"/>
          <w:sz w:val="28"/>
          <w:szCs w:val="28"/>
          <w:highlight w:val="none"/>
          <w:lang w:val="en-US" w:eastAsia="zh-CN"/>
        </w:rPr>
        <w:t>所需满足的业绩条件</w:t>
      </w:r>
    </w:p>
    <w:tbl>
      <w:tblPr>
        <w:tblStyle w:val="3"/>
        <w:tblpPr w:leftFromText="180" w:rightFromText="180" w:vertAnchor="text" w:horzAnchor="page" w:tblpX="1784" w:tblpY="622"/>
        <w:tblOverlap w:val="never"/>
        <w:tblW w:w="853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29"/>
        <w:gridCol w:w="1929"/>
        <w:gridCol w:w="5081"/>
      </w:tblGrid>
      <w:tr w14:paraId="7D3765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29" w:type="dxa"/>
            <w:vAlign w:val="center"/>
          </w:tcPr>
          <w:p w14:paraId="351655EB">
            <w:pPr>
              <w:widowControl/>
              <w:numPr>
                <w:ilvl w:val="0"/>
                <w:numId w:val="0"/>
              </w:numPr>
              <w:autoSpaceDE/>
              <w:autoSpaceDN/>
              <w:adjustRightInd/>
              <w:spacing w:line="240" w:lineRule="auto"/>
              <w:ind w:right="42" w:rightChars="20"/>
              <w:jc w:val="center"/>
              <w:textAlignment w:val="auto"/>
              <w:outlineLvl w:val="9"/>
              <w:rPr>
                <w:rFonts w:hint="eastAsia" w:ascii="宋体" w:hAnsi="宋体" w:eastAsia="宋体" w:cs="宋体"/>
                <w:b w:val="0"/>
                <w:bCs w:val="0"/>
                <w:color w:val="auto"/>
                <w:kern w:val="0"/>
                <w:sz w:val="18"/>
                <w:szCs w:val="18"/>
                <w:highlight w:val="none"/>
                <w:u w:val="none"/>
                <w:vertAlign w:val="baseline"/>
                <w:lang w:val="en-US" w:eastAsia="zh-CN" w:bidi="ar"/>
              </w:rPr>
            </w:pPr>
            <w:r>
              <w:rPr>
                <w:rFonts w:hint="eastAsia" w:ascii="宋体" w:hAnsi="宋体" w:eastAsia="宋体" w:cs="宋体"/>
                <w:i w:val="0"/>
                <w:iCs w:val="0"/>
                <w:color w:val="auto"/>
                <w:kern w:val="0"/>
                <w:sz w:val="18"/>
                <w:szCs w:val="18"/>
                <w:highlight w:val="none"/>
                <w:u w:val="none"/>
                <w:lang w:val="en-US" w:eastAsia="zh-CN" w:bidi="ar"/>
              </w:rPr>
              <w:t>站点</w:t>
            </w:r>
          </w:p>
        </w:tc>
        <w:tc>
          <w:tcPr>
            <w:tcW w:w="1929" w:type="dxa"/>
            <w:vAlign w:val="center"/>
          </w:tcPr>
          <w:p w14:paraId="00E4550F">
            <w:pPr>
              <w:keepNext w:val="0"/>
              <w:keepLines w:val="0"/>
              <w:widowControl/>
              <w:numPr>
                <w:ilvl w:val="0"/>
                <w:numId w:val="0"/>
              </w:numPr>
              <w:suppressLineNumbers w:val="0"/>
              <w:ind w:right="42" w:rightChars="20"/>
              <w:jc w:val="center"/>
              <w:textAlignment w:val="auto"/>
              <w:outlineLvl w:val="9"/>
              <w:rPr>
                <w:rFonts w:hint="eastAsia" w:ascii="宋体" w:hAnsi="宋体" w:eastAsia="宋体" w:cs="宋体"/>
                <w:b w:val="0"/>
                <w:bCs w:val="0"/>
                <w:color w:val="auto"/>
                <w:kern w:val="0"/>
                <w:sz w:val="18"/>
                <w:szCs w:val="18"/>
                <w:highlight w:val="none"/>
                <w:vertAlign w:val="baseline"/>
                <w:lang w:eastAsia="zh-CN"/>
              </w:rPr>
            </w:pPr>
            <w:r>
              <w:rPr>
                <w:rFonts w:hint="eastAsia" w:ascii="宋体" w:hAnsi="宋体" w:eastAsia="宋体" w:cs="宋体"/>
                <w:i w:val="0"/>
                <w:iCs w:val="0"/>
                <w:color w:val="auto"/>
                <w:kern w:val="0"/>
                <w:sz w:val="18"/>
                <w:szCs w:val="18"/>
                <w:highlight w:val="none"/>
                <w:u w:val="none"/>
                <w:lang w:val="en-US" w:eastAsia="zh-CN" w:bidi="ar"/>
              </w:rPr>
              <w:t>计租面积（㎡）</w:t>
            </w:r>
          </w:p>
        </w:tc>
        <w:tc>
          <w:tcPr>
            <w:tcW w:w="5081" w:type="dxa"/>
            <w:vAlign w:val="center"/>
          </w:tcPr>
          <w:p w14:paraId="0FCC9AA6">
            <w:pPr>
              <w:keepNext w:val="0"/>
              <w:keepLines w:val="0"/>
              <w:widowControl/>
              <w:numPr>
                <w:ilvl w:val="0"/>
                <w:numId w:val="0"/>
              </w:numPr>
              <w:suppressLineNumbers w:val="0"/>
              <w:ind w:right="42" w:rightChars="20"/>
              <w:jc w:val="center"/>
              <w:textAlignment w:val="auto"/>
              <w:outlineLvl w:val="9"/>
              <w:rPr>
                <w:rFonts w:hint="eastAsia" w:ascii="宋体" w:hAnsi="宋体" w:eastAsia="宋体" w:cs="宋体"/>
                <w:b w:val="0"/>
                <w:bCs w:val="0"/>
                <w:color w:val="auto"/>
                <w:kern w:val="0"/>
                <w:sz w:val="18"/>
                <w:szCs w:val="18"/>
                <w:highlight w:val="none"/>
                <w:vertAlign w:val="baseline"/>
                <w:lang w:eastAsia="zh-CN"/>
              </w:rPr>
            </w:pPr>
            <w:r>
              <w:rPr>
                <w:rFonts w:hint="eastAsia" w:ascii="宋体" w:hAnsi="宋体" w:eastAsia="宋体" w:cs="宋体"/>
                <w:i w:val="0"/>
                <w:iCs w:val="0"/>
                <w:color w:val="auto"/>
                <w:kern w:val="0"/>
                <w:sz w:val="18"/>
                <w:szCs w:val="18"/>
                <w:highlight w:val="none"/>
                <w:u w:val="none"/>
                <w:lang w:val="en-US" w:eastAsia="zh-CN" w:bidi="ar"/>
              </w:rPr>
              <w:t>业绩条件（自招租信息发布日往前计算五年）</w:t>
            </w:r>
          </w:p>
        </w:tc>
      </w:tr>
      <w:tr w14:paraId="06E945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29" w:type="dxa"/>
            <w:vAlign w:val="center"/>
          </w:tcPr>
          <w:p w14:paraId="66CB9665">
            <w:pPr>
              <w:widowControl/>
              <w:numPr>
                <w:ilvl w:val="0"/>
                <w:numId w:val="0"/>
              </w:numPr>
              <w:autoSpaceDE/>
              <w:autoSpaceDN/>
              <w:adjustRightInd/>
              <w:spacing w:line="240" w:lineRule="auto"/>
              <w:ind w:right="42" w:rightChars="20"/>
              <w:jc w:val="center"/>
              <w:textAlignment w:val="auto"/>
              <w:outlineLvl w:val="9"/>
              <w:rPr>
                <w:rFonts w:hint="eastAsia" w:ascii="宋体" w:hAnsi="宋体" w:eastAsia="宋体" w:cs="宋体"/>
                <w:b w:val="0"/>
                <w:bCs w:val="0"/>
                <w:color w:val="auto"/>
                <w:kern w:val="0"/>
                <w:sz w:val="18"/>
                <w:szCs w:val="18"/>
                <w:highlight w:val="none"/>
                <w:u w:val="none"/>
                <w:vertAlign w:val="baseline"/>
                <w:lang w:val="en-US" w:eastAsia="zh-CN" w:bidi="ar"/>
              </w:rPr>
            </w:pPr>
            <w:r>
              <w:rPr>
                <w:rFonts w:hint="eastAsia" w:ascii="宋体" w:hAnsi="宋体" w:eastAsia="宋体" w:cs="宋体"/>
                <w:i w:val="0"/>
                <w:iCs w:val="0"/>
                <w:color w:val="auto"/>
                <w:kern w:val="0"/>
                <w:sz w:val="18"/>
                <w:szCs w:val="18"/>
                <w:highlight w:val="none"/>
                <w:u w:val="none"/>
                <w:lang w:val="en-US" w:eastAsia="zh-CN" w:bidi="ar"/>
              </w:rPr>
              <w:t>贵阳火车站</w:t>
            </w:r>
          </w:p>
        </w:tc>
        <w:tc>
          <w:tcPr>
            <w:tcW w:w="1929" w:type="dxa"/>
            <w:vAlign w:val="center"/>
          </w:tcPr>
          <w:p w14:paraId="5F6B4220">
            <w:pPr>
              <w:keepNext w:val="0"/>
              <w:keepLines w:val="0"/>
              <w:widowControl/>
              <w:numPr>
                <w:ilvl w:val="0"/>
                <w:numId w:val="0"/>
              </w:numPr>
              <w:suppressLineNumbers w:val="0"/>
              <w:ind w:right="42" w:rightChars="20"/>
              <w:jc w:val="center"/>
              <w:textAlignment w:val="auto"/>
              <w:outlineLvl w:val="9"/>
              <w:rPr>
                <w:rFonts w:hint="eastAsia" w:ascii="宋体" w:hAnsi="宋体" w:eastAsia="宋体" w:cs="宋体"/>
                <w:b w:val="0"/>
                <w:bCs w:val="0"/>
                <w:color w:val="auto"/>
                <w:kern w:val="0"/>
                <w:sz w:val="18"/>
                <w:szCs w:val="18"/>
                <w:highlight w:val="none"/>
                <w:vertAlign w:val="baseline"/>
                <w:lang w:eastAsia="zh-CN"/>
              </w:rPr>
            </w:pPr>
            <w:r>
              <w:rPr>
                <w:rFonts w:hint="eastAsia" w:ascii="宋体" w:hAnsi="宋体" w:eastAsia="宋体" w:cs="宋体"/>
                <w:i w:val="0"/>
                <w:iCs w:val="0"/>
                <w:color w:val="auto"/>
                <w:kern w:val="0"/>
                <w:sz w:val="18"/>
                <w:szCs w:val="18"/>
                <w:highlight w:val="none"/>
                <w:u w:val="none"/>
                <w:lang w:val="en-US" w:eastAsia="zh-CN" w:bidi="ar"/>
              </w:rPr>
              <w:t>2553.48</w:t>
            </w:r>
          </w:p>
        </w:tc>
        <w:tc>
          <w:tcPr>
            <w:tcW w:w="5081" w:type="dxa"/>
            <w:vAlign w:val="center"/>
          </w:tcPr>
          <w:p w14:paraId="4559E3AD">
            <w:pPr>
              <w:keepNext w:val="0"/>
              <w:keepLines w:val="0"/>
              <w:widowControl/>
              <w:numPr>
                <w:ilvl w:val="0"/>
                <w:numId w:val="0"/>
              </w:numPr>
              <w:suppressLineNumbers w:val="0"/>
              <w:ind w:right="42" w:rightChars="20"/>
              <w:jc w:val="center"/>
              <w:textAlignment w:val="auto"/>
              <w:outlineLvl w:val="9"/>
              <w:rPr>
                <w:rFonts w:hint="eastAsia" w:ascii="宋体" w:hAnsi="宋体" w:eastAsia="宋体" w:cs="宋体"/>
                <w:b w:val="0"/>
                <w:bCs w:val="0"/>
                <w:color w:val="auto"/>
                <w:kern w:val="0"/>
                <w:sz w:val="18"/>
                <w:szCs w:val="18"/>
                <w:highlight w:val="none"/>
                <w:vertAlign w:val="baseline"/>
                <w:lang w:eastAsia="zh-CN"/>
              </w:rPr>
            </w:pPr>
            <w:r>
              <w:rPr>
                <w:rFonts w:hint="eastAsia" w:ascii="宋体" w:hAnsi="宋体" w:eastAsia="宋体" w:cs="宋体"/>
                <w:i w:val="0"/>
                <w:iCs w:val="0"/>
                <w:color w:val="auto"/>
                <w:kern w:val="0"/>
                <w:sz w:val="18"/>
                <w:szCs w:val="18"/>
                <w:highlight w:val="none"/>
                <w:u w:val="none"/>
                <w:lang w:val="en-US" w:eastAsia="zh-CN" w:bidi="ar"/>
              </w:rPr>
              <w:t>与拟经营业态相同的已经营项目1个及以上，且单个经营项目体量不少于2000平方米。</w:t>
            </w:r>
          </w:p>
        </w:tc>
      </w:tr>
    </w:tbl>
    <w:p w14:paraId="7BBAE1C7">
      <w:pPr>
        <w:numPr>
          <w:ilvl w:val="0"/>
          <w:numId w:val="0"/>
        </w:numPr>
        <w:spacing w:line="240" w:lineRule="auto"/>
        <w:ind w:right="42" w:rightChars="20" w:firstLine="560" w:firstLineChars="200"/>
        <w:jc w:val="left"/>
        <w:outlineLvl w:val="9"/>
        <w:rPr>
          <w:rFonts w:hint="eastAsia" w:ascii="仿宋_GB2312" w:hAnsi="仿宋_GB2312" w:eastAsia="仿宋_GB2312" w:cs="仿宋_GB2312"/>
          <w:color w:val="auto"/>
          <w:kern w:val="0"/>
          <w:sz w:val="28"/>
          <w:szCs w:val="28"/>
          <w:highlight w:val="none"/>
          <w:lang w:val="en-US" w:eastAsia="zh-CN"/>
        </w:rPr>
      </w:pPr>
      <w:r>
        <w:rPr>
          <w:rFonts w:hint="eastAsia" w:ascii="仿宋_GB2312" w:hAnsi="仿宋_GB2312" w:eastAsia="仿宋_GB2312" w:cs="仿宋_GB2312"/>
          <w:color w:val="auto"/>
          <w:kern w:val="0"/>
          <w:sz w:val="28"/>
          <w:szCs w:val="28"/>
          <w:highlight w:val="none"/>
          <w:lang w:val="en-US" w:eastAsia="zh-CN"/>
        </w:rPr>
        <w:t>（三）意向承租人承诺无不良行为记录：须保证法人信用良好，无严重违法失信（执行标准：提供“信用中国”网站（www.creditchina.gov.cn）的证明材料）。</w:t>
      </w:r>
    </w:p>
    <w:p w14:paraId="30AC23BC">
      <w:pPr>
        <w:numPr>
          <w:ilvl w:val="0"/>
          <w:numId w:val="0"/>
        </w:numPr>
        <w:spacing w:line="240" w:lineRule="auto"/>
        <w:ind w:right="42" w:rightChars="20" w:firstLine="560" w:firstLineChars="200"/>
        <w:jc w:val="left"/>
        <w:outlineLvl w:val="9"/>
        <w:rPr>
          <w:rFonts w:hint="eastAsia" w:ascii="仿宋_GB2312" w:hAnsi="仿宋_GB2312" w:eastAsia="仿宋_GB2312" w:cs="仿宋_GB2312"/>
          <w:color w:val="auto"/>
          <w:kern w:val="0"/>
          <w:sz w:val="28"/>
          <w:szCs w:val="28"/>
          <w:highlight w:val="none"/>
          <w:lang w:val="en-US" w:eastAsia="zh-CN"/>
        </w:rPr>
      </w:pPr>
      <w:r>
        <w:rPr>
          <w:rFonts w:hint="eastAsia" w:ascii="仿宋_GB2312" w:hAnsi="仿宋_GB2312" w:eastAsia="仿宋_GB2312" w:cs="仿宋_GB2312"/>
          <w:color w:val="auto"/>
          <w:kern w:val="0"/>
          <w:sz w:val="28"/>
          <w:szCs w:val="28"/>
          <w:highlight w:val="none"/>
          <w:lang w:val="en-US" w:eastAsia="zh-CN"/>
        </w:rPr>
        <w:t>（四）愿意且有能力承担本项目的全部投资及政府的相关行政审批手续办理（详见承诺书）。</w:t>
      </w:r>
    </w:p>
    <w:p w14:paraId="40D92E55">
      <w:pPr>
        <w:numPr>
          <w:ilvl w:val="0"/>
          <w:numId w:val="0"/>
        </w:numPr>
        <w:spacing w:line="240" w:lineRule="auto"/>
        <w:ind w:right="42" w:rightChars="20" w:firstLine="560" w:firstLineChars="200"/>
        <w:jc w:val="left"/>
        <w:outlineLvl w:val="9"/>
        <w:rPr>
          <w:rFonts w:hint="eastAsia" w:ascii="仿宋_GB2312" w:hAnsi="仿宋_GB2312" w:eastAsia="仿宋_GB2312" w:cs="仿宋_GB2312"/>
          <w:color w:val="auto"/>
          <w:kern w:val="0"/>
          <w:sz w:val="28"/>
          <w:szCs w:val="28"/>
          <w:highlight w:val="none"/>
          <w:lang w:val="en-US" w:eastAsia="zh-CN"/>
        </w:rPr>
      </w:pPr>
      <w:r>
        <w:rPr>
          <w:rFonts w:hint="eastAsia" w:ascii="仿宋_GB2312" w:hAnsi="仿宋_GB2312" w:eastAsia="仿宋_GB2312" w:cs="仿宋_GB2312"/>
          <w:color w:val="auto"/>
          <w:kern w:val="0"/>
          <w:sz w:val="28"/>
          <w:szCs w:val="28"/>
          <w:highlight w:val="none"/>
          <w:lang w:val="en-US" w:eastAsia="zh-CN"/>
        </w:rPr>
        <w:t>（五）意向承租人须承诺按出租人提供的合同范本签订租赁合同。</w:t>
      </w:r>
    </w:p>
    <w:p w14:paraId="3D988860">
      <w:pPr>
        <w:numPr>
          <w:ilvl w:val="0"/>
          <w:numId w:val="0"/>
        </w:numPr>
        <w:spacing w:line="240" w:lineRule="auto"/>
        <w:ind w:right="42" w:rightChars="20" w:firstLine="560" w:firstLineChars="200"/>
        <w:jc w:val="left"/>
        <w:outlineLvl w:val="9"/>
        <w:rPr>
          <w:rFonts w:hint="eastAsia" w:ascii="仿宋_GB2312" w:hAnsi="仿宋_GB2312" w:eastAsia="仿宋_GB2312" w:cs="仿宋_GB2312"/>
          <w:color w:val="auto"/>
          <w:kern w:val="0"/>
          <w:sz w:val="28"/>
          <w:szCs w:val="28"/>
          <w:highlight w:val="none"/>
          <w:lang w:val="en-US" w:eastAsia="zh-CN"/>
        </w:rPr>
      </w:pPr>
      <w:r>
        <w:rPr>
          <w:rFonts w:hint="eastAsia" w:ascii="仿宋_GB2312" w:hAnsi="仿宋_GB2312" w:eastAsia="仿宋_GB2312" w:cs="仿宋_GB2312"/>
          <w:color w:val="auto"/>
          <w:kern w:val="0"/>
          <w:sz w:val="28"/>
          <w:szCs w:val="28"/>
          <w:highlight w:val="none"/>
          <w:lang w:val="en-US" w:eastAsia="zh-CN"/>
        </w:rPr>
        <w:t>（六）意向承租人明确知晓本项目租金计算规则。</w:t>
      </w:r>
    </w:p>
    <w:p w14:paraId="5F5BB1D4">
      <w:pPr>
        <w:numPr>
          <w:ilvl w:val="0"/>
          <w:numId w:val="0"/>
        </w:numPr>
        <w:spacing w:line="240" w:lineRule="auto"/>
        <w:ind w:right="42" w:rightChars="20" w:firstLine="560" w:firstLineChars="200"/>
        <w:jc w:val="left"/>
        <w:outlineLvl w:val="9"/>
        <w:rPr>
          <w:rFonts w:hint="eastAsia" w:ascii="仿宋_GB2312" w:hAnsi="仿宋_GB2312" w:eastAsia="仿宋_GB2312" w:cs="仿宋_GB2312"/>
          <w:color w:val="auto"/>
          <w:kern w:val="0"/>
          <w:sz w:val="28"/>
          <w:szCs w:val="28"/>
          <w:highlight w:val="none"/>
          <w:lang w:val="en-US" w:eastAsia="zh-CN"/>
        </w:rPr>
      </w:pPr>
      <w:r>
        <w:rPr>
          <w:rFonts w:hint="eastAsia" w:ascii="仿宋_GB2312" w:hAnsi="仿宋_GB2312" w:eastAsia="仿宋_GB2312" w:cs="仿宋_GB2312"/>
          <w:color w:val="auto"/>
          <w:kern w:val="0"/>
          <w:sz w:val="28"/>
          <w:szCs w:val="28"/>
          <w:highlight w:val="none"/>
          <w:lang w:val="en-US" w:eastAsia="zh-CN"/>
        </w:rPr>
        <w:t>（七）意向方登记表（交易所提供）</w:t>
      </w:r>
    </w:p>
    <w:p w14:paraId="67AAC597">
      <w:pPr>
        <w:numPr>
          <w:ilvl w:val="0"/>
          <w:numId w:val="0"/>
        </w:numPr>
        <w:spacing w:line="240" w:lineRule="auto"/>
        <w:ind w:right="42" w:rightChars="20" w:firstLine="560" w:firstLineChars="200"/>
        <w:jc w:val="left"/>
        <w:outlineLvl w:val="9"/>
        <w:rPr>
          <w:rFonts w:hint="eastAsia" w:ascii="仿宋_GB2312" w:hAnsi="仿宋_GB2312" w:eastAsia="仿宋_GB2312" w:cs="仿宋_GB2312"/>
          <w:color w:val="auto"/>
          <w:kern w:val="0"/>
          <w:sz w:val="28"/>
          <w:szCs w:val="28"/>
          <w:highlight w:val="none"/>
          <w:lang w:val="en-US" w:eastAsia="zh-CN"/>
        </w:rPr>
      </w:pPr>
      <w:r>
        <w:rPr>
          <w:rFonts w:hint="eastAsia" w:ascii="仿宋_GB2312" w:hAnsi="仿宋_GB2312" w:eastAsia="仿宋_GB2312" w:cs="仿宋_GB2312"/>
          <w:color w:val="auto"/>
          <w:kern w:val="0"/>
          <w:sz w:val="28"/>
          <w:szCs w:val="28"/>
          <w:highlight w:val="none"/>
          <w:lang w:val="en-US" w:eastAsia="zh-CN"/>
        </w:rPr>
        <w:t>（八）保证金须知（交易所提供）</w:t>
      </w:r>
    </w:p>
    <w:p w14:paraId="6258E982">
      <w:pPr>
        <w:numPr>
          <w:ilvl w:val="0"/>
          <w:numId w:val="0"/>
        </w:numPr>
        <w:spacing w:line="240" w:lineRule="auto"/>
        <w:ind w:right="42" w:rightChars="20" w:firstLine="560" w:firstLineChars="200"/>
        <w:jc w:val="left"/>
        <w:outlineLvl w:val="9"/>
        <w:rPr>
          <w:rFonts w:hint="eastAsia" w:ascii="仿宋_GB2312" w:hAnsi="仿宋_GB2312" w:eastAsia="仿宋_GB2312" w:cs="仿宋_GB2312"/>
          <w:color w:val="auto"/>
          <w:kern w:val="0"/>
          <w:sz w:val="28"/>
          <w:szCs w:val="28"/>
          <w:highlight w:val="none"/>
          <w:lang w:val="en-US" w:eastAsia="zh-CN"/>
        </w:rPr>
      </w:pPr>
      <w:r>
        <w:rPr>
          <w:rFonts w:hint="eastAsia" w:ascii="仿宋_GB2312" w:hAnsi="仿宋_GB2312" w:eastAsia="仿宋_GB2312" w:cs="仿宋_GB2312"/>
          <w:color w:val="auto"/>
          <w:kern w:val="0"/>
          <w:sz w:val="28"/>
          <w:szCs w:val="28"/>
          <w:highlight w:val="none"/>
          <w:lang w:val="en-US" w:eastAsia="zh-CN"/>
        </w:rPr>
        <w:t>（九）现场踏勘确认书</w:t>
      </w:r>
    </w:p>
    <w:p w14:paraId="4B9E2E5C">
      <w:pPr>
        <w:autoSpaceDE w:val="0"/>
        <w:autoSpaceDN w:val="0"/>
        <w:adjustRightInd w:val="0"/>
        <w:spacing w:line="240" w:lineRule="auto"/>
        <w:rPr>
          <w:rFonts w:hint="eastAsia" w:ascii="黑体" w:hAnsi="黑体" w:eastAsia="黑体" w:cs="黑体"/>
          <w:b w:val="0"/>
          <w:bCs w:val="0"/>
          <w:color w:val="auto"/>
          <w:kern w:val="2"/>
          <w:sz w:val="28"/>
          <w:szCs w:val="28"/>
          <w:highlight w:val="none"/>
          <w:lang w:val="en-US" w:eastAsia="zh-CN"/>
        </w:rPr>
      </w:pPr>
      <w:r>
        <w:rPr>
          <w:rFonts w:hint="eastAsia" w:ascii="黑体" w:hAnsi="黑体" w:eastAsia="黑体" w:cs="黑体"/>
          <w:b w:val="0"/>
          <w:bCs w:val="0"/>
          <w:color w:val="auto"/>
          <w:kern w:val="2"/>
          <w:sz w:val="28"/>
          <w:szCs w:val="28"/>
          <w:highlight w:val="none"/>
          <w:lang w:val="en-US" w:eastAsia="zh-CN"/>
        </w:rPr>
        <w:t>租金收取</w:t>
      </w:r>
    </w:p>
    <w:p w14:paraId="22369E4D">
      <w:pPr>
        <w:numPr>
          <w:ilvl w:val="0"/>
          <w:numId w:val="0"/>
        </w:numPr>
        <w:spacing w:line="360" w:lineRule="auto"/>
        <w:ind w:right="42" w:rightChars="20" w:firstLine="560" w:firstLineChars="200"/>
        <w:jc w:val="left"/>
        <w:outlineLvl w:val="9"/>
        <w:rPr>
          <w:rFonts w:hint="eastAsia" w:ascii="仿宋_GB2312" w:hAnsi="仿宋_GB2312" w:eastAsia="仿宋_GB2312" w:cs="仿宋_GB2312"/>
          <w:color w:val="auto"/>
          <w:kern w:val="0"/>
          <w:sz w:val="28"/>
          <w:szCs w:val="28"/>
          <w:highlight w:val="none"/>
          <w:lang w:val="en-US" w:eastAsia="zh-CN"/>
        </w:rPr>
      </w:pPr>
      <w:r>
        <w:rPr>
          <w:rFonts w:hint="eastAsia" w:ascii="仿宋_GB2312" w:hAnsi="仿宋_GB2312" w:eastAsia="仿宋_GB2312" w:cs="仿宋_GB2312"/>
          <w:color w:val="auto"/>
          <w:kern w:val="0"/>
          <w:sz w:val="28"/>
          <w:szCs w:val="28"/>
          <w:highlight w:val="none"/>
          <w:lang w:val="en-US" w:eastAsia="zh-CN"/>
        </w:rPr>
        <w:t>1.租金采取预收方式，每6个月收取一次。</w:t>
      </w:r>
    </w:p>
    <w:p w14:paraId="1161C816">
      <w:pPr>
        <w:numPr>
          <w:ilvl w:val="0"/>
          <w:numId w:val="0"/>
        </w:numPr>
        <w:spacing w:line="360" w:lineRule="auto"/>
        <w:ind w:right="42" w:rightChars="20" w:firstLine="560" w:firstLineChars="200"/>
        <w:jc w:val="left"/>
        <w:outlineLvl w:val="9"/>
        <w:rPr>
          <w:rFonts w:hint="eastAsia" w:ascii="仿宋_GB2312" w:hAnsi="仿宋_GB2312" w:eastAsia="仿宋_GB2312" w:cs="仿宋_GB2312"/>
          <w:color w:val="auto"/>
          <w:kern w:val="0"/>
          <w:sz w:val="28"/>
          <w:szCs w:val="28"/>
          <w:highlight w:val="none"/>
          <w:lang w:val="en-US" w:eastAsia="zh-CN"/>
        </w:rPr>
      </w:pPr>
      <w:r>
        <w:rPr>
          <w:rFonts w:hint="eastAsia" w:ascii="仿宋_GB2312" w:hAnsi="仿宋_GB2312" w:eastAsia="仿宋_GB2312" w:cs="仿宋_GB2312"/>
          <w:color w:val="auto"/>
          <w:kern w:val="0"/>
          <w:sz w:val="28"/>
          <w:szCs w:val="28"/>
          <w:highlight w:val="none"/>
          <w:lang w:val="en-US" w:eastAsia="zh-CN"/>
        </w:rPr>
        <w:t>2.第一</w:t>
      </w:r>
      <w:r>
        <w:rPr>
          <w:rFonts w:hint="default" w:ascii="仿宋_GB2312" w:hAnsi="仿宋_GB2312" w:eastAsia="仿宋_GB2312" w:cs="仿宋_GB2312"/>
          <w:color w:val="auto"/>
          <w:kern w:val="0"/>
          <w:sz w:val="28"/>
          <w:szCs w:val="28"/>
          <w:highlight w:val="none"/>
          <w:lang w:val="en-US" w:eastAsia="zh-CN"/>
        </w:rPr>
        <w:t>期</w:t>
      </w:r>
      <w:r>
        <w:rPr>
          <w:rFonts w:hint="eastAsia" w:ascii="仿宋_GB2312" w:hAnsi="仿宋_GB2312" w:eastAsia="仿宋_GB2312" w:cs="仿宋_GB2312"/>
          <w:color w:val="auto"/>
          <w:kern w:val="0"/>
          <w:sz w:val="28"/>
          <w:szCs w:val="28"/>
          <w:highlight w:val="none"/>
          <w:lang w:val="en-US" w:eastAsia="zh-CN"/>
        </w:rPr>
        <w:t>租金的收取：承租人须在租赁合同生效后30</w:t>
      </w:r>
      <w:r>
        <w:rPr>
          <w:rFonts w:hint="eastAsia" w:ascii="仿宋_GB2312" w:hAnsi="仿宋_GB2312" w:eastAsia="仿宋_GB2312" w:cs="仿宋_GB2312"/>
          <w:color w:val="auto"/>
          <w:kern w:val="0"/>
          <w:sz w:val="28"/>
          <w:szCs w:val="28"/>
          <w:highlight w:val="none"/>
        </w:rPr>
        <w:t>个</w:t>
      </w:r>
      <w:r>
        <w:rPr>
          <w:rFonts w:hint="eastAsia" w:ascii="仿宋_GB2312" w:hAnsi="仿宋_GB2312" w:eastAsia="仿宋_GB2312" w:cs="仿宋_GB2312"/>
          <w:color w:val="auto"/>
          <w:kern w:val="0"/>
          <w:sz w:val="28"/>
          <w:szCs w:val="28"/>
          <w:highlight w:val="none"/>
          <w:lang w:val="en-US" w:eastAsia="zh-CN"/>
        </w:rPr>
        <w:t>自然</w:t>
      </w:r>
      <w:r>
        <w:rPr>
          <w:rFonts w:hint="eastAsia" w:ascii="仿宋_GB2312" w:hAnsi="仿宋_GB2312" w:eastAsia="仿宋_GB2312" w:cs="仿宋_GB2312"/>
          <w:color w:val="auto"/>
          <w:kern w:val="0"/>
          <w:sz w:val="28"/>
          <w:szCs w:val="28"/>
          <w:highlight w:val="none"/>
        </w:rPr>
        <w:t>日</w:t>
      </w:r>
      <w:r>
        <w:rPr>
          <w:rFonts w:hint="eastAsia" w:ascii="仿宋_GB2312" w:hAnsi="仿宋_GB2312" w:eastAsia="仿宋_GB2312" w:cs="仿宋_GB2312"/>
          <w:color w:val="auto"/>
          <w:kern w:val="0"/>
          <w:sz w:val="28"/>
          <w:szCs w:val="28"/>
          <w:highlight w:val="none"/>
          <w:lang w:val="en-US" w:eastAsia="zh-CN"/>
        </w:rPr>
        <w:t>内缴纳第一</w:t>
      </w:r>
      <w:r>
        <w:rPr>
          <w:rFonts w:hint="default" w:ascii="仿宋_GB2312" w:hAnsi="仿宋_GB2312" w:eastAsia="仿宋_GB2312" w:cs="仿宋_GB2312"/>
          <w:color w:val="auto"/>
          <w:kern w:val="0"/>
          <w:sz w:val="28"/>
          <w:szCs w:val="28"/>
          <w:highlight w:val="none"/>
          <w:lang w:val="en-US" w:eastAsia="zh-CN"/>
        </w:rPr>
        <w:t>期</w:t>
      </w:r>
      <w:r>
        <w:rPr>
          <w:rFonts w:hint="eastAsia" w:ascii="仿宋_GB2312" w:hAnsi="仿宋_GB2312" w:eastAsia="仿宋_GB2312" w:cs="仿宋_GB2312"/>
          <w:color w:val="auto"/>
          <w:kern w:val="0"/>
          <w:sz w:val="28"/>
          <w:szCs w:val="28"/>
          <w:highlight w:val="none"/>
          <w:lang w:val="en-US" w:eastAsia="zh-CN"/>
        </w:rPr>
        <w:t>租金。</w:t>
      </w:r>
    </w:p>
    <w:p w14:paraId="115543DB">
      <w:pPr>
        <w:numPr>
          <w:ilvl w:val="0"/>
          <w:numId w:val="0"/>
        </w:numPr>
        <w:overflowPunct/>
        <w:autoSpaceDE/>
        <w:spacing w:line="360" w:lineRule="auto"/>
        <w:ind w:right="42" w:rightChars="20" w:firstLine="560" w:firstLineChars="200"/>
        <w:jc w:val="left"/>
        <w:outlineLvl w:val="9"/>
        <w:rPr>
          <w:rFonts w:hint="eastAsia" w:ascii="仿宋_GB2312" w:hAnsi="仿宋_GB2312" w:eastAsia="仿宋_GB2312" w:cs="仿宋_GB2312"/>
          <w:color w:val="auto"/>
          <w:kern w:val="0"/>
          <w:sz w:val="28"/>
          <w:szCs w:val="28"/>
          <w:highlight w:val="none"/>
          <w:lang w:val="en-US" w:eastAsia="zh-CN"/>
        </w:rPr>
      </w:pPr>
      <w:r>
        <w:rPr>
          <w:rFonts w:hint="eastAsia" w:ascii="仿宋_GB2312" w:hAnsi="仿宋_GB2312" w:eastAsia="仿宋_GB2312" w:cs="仿宋_GB2312"/>
          <w:color w:val="auto"/>
          <w:kern w:val="0"/>
          <w:sz w:val="28"/>
          <w:szCs w:val="28"/>
          <w:highlight w:val="none"/>
          <w:lang w:val="en-US" w:eastAsia="zh-CN"/>
        </w:rPr>
        <w:t>3.第二</w:t>
      </w:r>
      <w:r>
        <w:rPr>
          <w:rFonts w:hint="default" w:ascii="仿宋_GB2312" w:hAnsi="仿宋_GB2312" w:eastAsia="仿宋_GB2312" w:cs="仿宋_GB2312"/>
          <w:color w:val="auto"/>
          <w:kern w:val="0"/>
          <w:sz w:val="28"/>
          <w:szCs w:val="28"/>
          <w:highlight w:val="none"/>
          <w:lang w:val="en-US" w:eastAsia="zh-CN"/>
        </w:rPr>
        <w:t>期</w:t>
      </w:r>
      <w:r>
        <w:rPr>
          <w:rFonts w:hint="eastAsia" w:ascii="仿宋_GB2312" w:hAnsi="仿宋_GB2312" w:eastAsia="仿宋_GB2312" w:cs="仿宋_GB2312"/>
          <w:color w:val="auto"/>
          <w:kern w:val="0"/>
          <w:sz w:val="28"/>
          <w:szCs w:val="28"/>
          <w:highlight w:val="none"/>
          <w:lang w:val="en-US" w:eastAsia="zh-CN"/>
        </w:rPr>
        <w:t>及后续租金的收取：承租人须在该出租标的的下一计租期开始时前30</w:t>
      </w:r>
      <w:r>
        <w:rPr>
          <w:rFonts w:hint="eastAsia" w:ascii="仿宋_GB2312" w:hAnsi="仿宋_GB2312" w:eastAsia="仿宋_GB2312" w:cs="仿宋_GB2312"/>
          <w:color w:val="auto"/>
          <w:kern w:val="0"/>
          <w:sz w:val="28"/>
          <w:szCs w:val="28"/>
          <w:highlight w:val="none"/>
        </w:rPr>
        <w:t>个</w:t>
      </w:r>
      <w:r>
        <w:rPr>
          <w:rFonts w:hint="eastAsia" w:ascii="仿宋_GB2312" w:hAnsi="仿宋_GB2312" w:eastAsia="仿宋_GB2312" w:cs="仿宋_GB2312"/>
          <w:color w:val="auto"/>
          <w:kern w:val="0"/>
          <w:sz w:val="28"/>
          <w:szCs w:val="28"/>
          <w:highlight w:val="none"/>
          <w:lang w:val="en-US" w:eastAsia="zh-CN"/>
        </w:rPr>
        <w:t>自然</w:t>
      </w:r>
      <w:r>
        <w:rPr>
          <w:rFonts w:hint="eastAsia" w:ascii="仿宋_GB2312" w:hAnsi="仿宋_GB2312" w:eastAsia="仿宋_GB2312" w:cs="仿宋_GB2312"/>
          <w:color w:val="auto"/>
          <w:kern w:val="0"/>
          <w:sz w:val="28"/>
          <w:szCs w:val="28"/>
          <w:highlight w:val="none"/>
        </w:rPr>
        <w:t>日</w:t>
      </w:r>
      <w:r>
        <w:rPr>
          <w:rFonts w:hint="eastAsia" w:ascii="仿宋_GB2312" w:hAnsi="仿宋_GB2312" w:eastAsia="仿宋_GB2312" w:cs="仿宋_GB2312"/>
          <w:color w:val="auto"/>
          <w:kern w:val="0"/>
          <w:sz w:val="28"/>
          <w:szCs w:val="28"/>
          <w:highlight w:val="none"/>
          <w:lang w:val="en-US" w:eastAsia="zh-CN"/>
        </w:rPr>
        <w:t>内将下一期租金转账至出租人指定账户。</w:t>
      </w:r>
    </w:p>
    <w:p w14:paraId="3FE61692">
      <w:pPr>
        <w:numPr>
          <w:ilvl w:val="0"/>
          <w:numId w:val="0"/>
        </w:numPr>
        <w:ind w:left="0" w:leftChars="0" w:right="42" w:rightChars="20" w:firstLine="560" w:firstLineChars="200"/>
        <w:jc w:val="left"/>
        <w:outlineLvl w:val="9"/>
        <w:rPr>
          <w:rFonts w:hint="eastAsia" w:ascii="仿宋_GB2312" w:hAnsi="仿宋_GB2312" w:eastAsia="仿宋_GB2312" w:cs="仿宋_GB2312"/>
          <w:color w:val="auto"/>
          <w:kern w:val="0"/>
          <w:sz w:val="28"/>
          <w:szCs w:val="28"/>
          <w:highlight w:val="none"/>
          <w:lang w:val="en-US" w:eastAsia="zh-CN"/>
        </w:rPr>
      </w:pPr>
      <w:r>
        <w:rPr>
          <w:rFonts w:hint="eastAsia" w:ascii="仿宋_GB2312" w:hAnsi="仿宋_GB2312" w:eastAsia="仿宋_GB2312" w:cs="仿宋_GB2312"/>
          <w:color w:val="auto"/>
          <w:kern w:val="0"/>
          <w:sz w:val="28"/>
          <w:szCs w:val="28"/>
          <w:highlight w:val="none"/>
          <w:lang w:val="en-US" w:eastAsia="zh-CN"/>
        </w:rPr>
        <w:t>4.每一期应收租金为该出租标的对应的租赁年度的租金的50%。</w:t>
      </w:r>
    </w:p>
    <w:p w14:paraId="63CD7ADE">
      <w:pPr>
        <w:numPr>
          <w:ilvl w:val="0"/>
          <w:numId w:val="0"/>
        </w:numPr>
        <w:spacing w:line="360" w:lineRule="auto"/>
        <w:ind w:right="42" w:rightChars="20" w:firstLine="560" w:firstLineChars="200"/>
        <w:jc w:val="left"/>
        <w:outlineLvl w:val="9"/>
        <w:rPr>
          <w:rFonts w:hint="default" w:ascii="仿宋_GB2312" w:hAnsi="仿宋_GB2312" w:eastAsia="仿宋_GB2312" w:cs="仿宋_GB2312"/>
          <w:color w:val="auto"/>
          <w:kern w:val="0"/>
          <w:sz w:val="28"/>
          <w:szCs w:val="28"/>
          <w:highlight w:val="none"/>
          <w:lang w:val="en-US" w:eastAsia="zh-CN"/>
        </w:rPr>
      </w:pPr>
      <w:r>
        <w:rPr>
          <w:rFonts w:hint="eastAsia" w:ascii="仿宋_GB2312" w:hAnsi="仿宋_GB2312" w:eastAsia="仿宋_GB2312" w:cs="仿宋_GB2312"/>
          <w:color w:val="auto"/>
          <w:kern w:val="0"/>
          <w:sz w:val="28"/>
          <w:szCs w:val="28"/>
          <w:highlight w:val="none"/>
          <w:lang w:val="en-US" w:eastAsia="zh-CN"/>
        </w:rPr>
        <w:t>5.如因特殊原因，需调整租金缴纳周期和方式，由双方另行协商一致后执行。</w:t>
      </w:r>
    </w:p>
    <w:p w14:paraId="32161E3C">
      <w:pPr>
        <w:numPr>
          <w:ilvl w:val="0"/>
          <w:numId w:val="0"/>
        </w:numPr>
        <w:adjustRightInd w:val="0"/>
        <w:spacing w:line="240" w:lineRule="auto"/>
        <w:ind w:right="42" w:rightChars="20"/>
        <w:jc w:val="left"/>
        <w:outlineLvl w:val="9"/>
        <w:rPr>
          <w:rFonts w:hint="eastAsia" w:ascii="黑体" w:hAnsi="黑体" w:eastAsia="黑体" w:cs="黑体"/>
          <w:color w:val="auto"/>
          <w:kern w:val="2"/>
          <w:sz w:val="28"/>
          <w:szCs w:val="28"/>
          <w:highlight w:val="none"/>
          <w:lang w:val="en-US" w:eastAsia="zh-CN"/>
        </w:rPr>
      </w:pPr>
      <w:r>
        <w:rPr>
          <w:rFonts w:hint="eastAsia" w:ascii="黑体" w:hAnsi="黑体" w:eastAsia="黑体" w:cs="黑体"/>
          <w:color w:val="auto"/>
          <w:kern w:val="2"/>
          <w:sz w:val="28"/>
          <w:szCs w:val="28"/>
          <w:highlight w:val="none"/>
          <w:lang w:val="en-US" w:eastAsia="zh-CN"/>
        </w:rPr>
        <w:t>水电接入及费用收取</w:t>
      </w:r>
    </w:p>
    <w:p w14:paraId="44DEF0CD">
      <w:pPr>
        <w:widowControl/>
        <w:numPr>
          <w:ilvl w:val="0"/>
          <w:numId w:val="0"/>
        </w:numPr>
        <w:spacing w:line="360" w:lineRule="auto"/>
        <w:ind w:left="0" w:right="42" w:rightChars="20" w:firstLine="560" w:firstLineChars="200"/>
        <w:jc w:val="left"/>
        <w:outlineLvl w:val="9"/>
        <w:rPr>
          <w:rFonts w:hint="eastAsia" w:ascii="仿宋_GB2312" w:hAnsi="仿宋_GB2312" w:eastAsia="仿宋_GB2312" w:cs="仿宋_GB2312"/>
          <w:color w:val="auto"/>
          <w:kern w:val="0"/>
          <w:sz w:val="28"/>
          <w:szCs w:val="28"/>
          <w:highlight w:val="none"/>
          <w:lang w:val="en-US" w:eastAsia="zh-CN"/>
        </w:rPr>
      </w:pPr>
      <w:r>
        <w:rPr>
          <w:rFonts w:hint="eastAsia" w:ascii="仿宋_GB2312" w:hAnsi="仿宋_GB2312" w:eastAsia="仿宋_GB2312" w:cs="仿宋_GB2312"/>
          <w:color w:val="auto"/>
          <w:kern w:val="0"/>
          <w:sz w:val="28"/>
          <w:szCs w:val="28"/>
          <w:highlight w:val="none"/>
          <w:lang w:val="en-US" w:eastAsia="zh-CN"/>
        </w:rPr>
        <w:t>1.出租标的已就水电接入端口进行了预留，接入口位于贵阳火车站地铁站内，承租人需自行从预留口接入水电。预留供电量为600KW，如需扩容，由承租人自行承担扩容费用。</w:t>
      </w:r>
    </w:p>
    <w:p w14:paraId="3666F3B7">
      <w:pPr>
        <w:widowControl/>
        <w:numPr>
          <w:ilvl w:val="0"/>
          <w:numId w:val="0"/>
        </w:numPr>
        <w:spacing w:line="360" w:lineRule="auto"/>
        <w:ind w:left="0" w:right="42" w:rightChars="20" w:firstLine="560" w:firstLineChars="200"/>
        <w:jc w:val="left"/>
        <w:outlineLvl w:val="9"/>
        <w:rPr>
          <w:rFonts w:hint="eastAsia" w:ascii="仿宋_GB2312" w:hAnsi="仿宋_GB2312" w:eastAsia="仿宋_GB2312" w:cs="仿宋_GB2312"/>
          <w:color w:val="auto"/>
          <w:kern w:val="0"/>
          <w:sz w:val="28"/>
          <w:szCs w:val="28"/>
          <w:highlight w:val="none"/>
          <w:lang w:val="en-US" w:eastAsia="zh-CN"/>
        </w:rPr>
      </w:pPr>
      <w:r>
        <w:rPr>
          <w:rFonts w:hint="eastAsia" w:ascii="仿宋_GB2312" w:hAnsi="仿宋_GB2312" w:eastAsia="仿宋_GB2312" w:cs="仿宋_GB2312"/>
          <w:color w:val="auto"/>
          <w:kern w:val="0"/>
          <w:sz w:val="28"/>
          <w:szCs w:val="28"/>
          <w:highlight w:val="none"/>
          <w:lang w:val="en-US" w:eastAsia="zh-CN"/>
        </w:rPr>
        <w:t>2.承租人可向供水供电部门申请水电接入并自行承担相关费用。</w:t>
      </w:r>
    </w:p>
    <w:p w14:paraId="49755A70">
      <w:pPr>
        <w:widowControl/>
        <w:numPr>
          <w:ilvl w:val="0"/>
          <w:numId w:val="0"/>
        </w:numPr>
        <w:spacing w:line="360" w:lineRule="auto"/>
        <w:ind w:left="0" w:right="42" w:rightChars="20" w:firstLine="560" w:firstLineChars="200"/>
        <w:jc w:val="left"/>
        <w:outlineLvl w:val="9"/>
        <w:rPr>
          <w:rFonts w:hint="eastAsia" w:ascii="仿宋_GB2312" w:hAnsi="仿宋_GB2312" w:eastAsia="仿宋_GB2312" w:cs="仿宋_GB2312"/>
          <w:color w:val="auto"/>
          <w:kern w:val="0"/>
          <w:sz w:val="28"/>
          <w:szCs w:val="28"/>
          <w:highlight w:val="none"/>
          <w:lang w:val="en-US" w:eastAsia="zh-CN"/>
        </w:rPr>
      </w:pPr>
      <w:r>
        <w:rPr>
          <w:rFonts w:hint="eastAsia" w:ascii="仿宋_GB2312" w:hAnsi="仿宋_GB2312" w:eastAsia="仿宋_GB2312" w:cs="仿宋_GB2312"/>
          <w:color w:val="auto"/>
          <w:kern w:val="0"/>
          <w:sz w:val="28"/>
          <w:szCs w:val="28"/>
          <w:highlight w:val="none"/>
          <w:lang w:val="en-US" w:eastAsia="zh-CN"/>
        </w:rPr>
        <w:t>3.采用轨道交通供电时的电费计算原则：</w:t>
      </w:r>
    </w:p>
    <w:p w14:paraId="148B9495">
      <w:pPr>
        <w:widowControl/>
        <w:numPr>
          <w:ilvl w:val="0"/>
          <w:numId w:val="0"/>
        </w:numPr>
        <w:autoSpaceDE/>
        <w:autoSpaceDN/>
        <w:adjustRightInd/>
        <w:spacing w:line="360" w:lineRule="auto"/>
        <w:ind w:right="42" w:rightChars="20" w:firstLine="560" w:firstLineChars="200"/>
        <w:jc w:val="left"/>
        <w:outlineLvl w:val="9"/>
        <w:rPr>
          <w:rFonts w:hint="eastAsia" w:ascii="仿宋_GB2312" w:hAnsi="仿宋_GB2312" w:eastAsia="仿宋_GB2312" w:cs="仿宋_GB2312"/>
          <w:color w:val="auto"/>
          <w:kern w:val="0"/>
          <w:sz w:val="28"/>
          <w:szCs w:val="28"/>
          <w:highlight w:val="none"/>
          <w:lang w:val="en-US" w:eastAsia="zh-CN"/>
        </w:rPr>
      </w:pPr>
      <w:r>
        <w:rPr>
          <w:rFonts w:hint="eastAsia" w:ascii="仿宋_GB2312" w:hAnsi="仿宋_GB2312" w:eastAsia="仿宋_GB2312" w:cs="仿宋_GB2312"/>
          <w:color w:val="auto"/>
          <w:kern w:val="0"/>
          <w:sz w:val="28"/>
          <w:szCs w:val="28"/>
          <w:highlight w:val="none"/>
          <w:lang w:val="en-US" w:eastAsia="zh-CN"/>
        </w:rPr>
        <w:t>（1）计算方式</w:t>
      </w:r>
    </w:p>
    <w:p w14:paraId="3B5255A7">
      <w:pPr>
        <w:widowControl/>
        <w:numPr>
          <w:ilvl w:val="0"/>
          <w:numId w:val="0"/>
        </w:numPr>
        <w:autoSpaceDE/>
        <w:autoSpaceDN/>
        <w:adjustRightInd/>
        <w:spacing w:line="360" w:lineRule="auto"/>
        <w:ind w:right="42" w:rightChars="20" w:firstLine="560" w:firstLineChars="200"/>
        <w:jc w:val="left"/>
        <w:outlineLvl w:val="9"/>
        <w:rPr>
          <w:rFonts w:hint="eastAsia" w:ascii="仿宋_GB2312" w:hAnsi="仿宋_GB2312" w:eastAsia="仿宋_GB2312" w:cs="仿宋_GB2312"/>
          <w:color w:val="auto"/>
          <w:kern w:val="0"/>
          <w:sz w:val="28"/>
          <w:szCs w:val="28"/>
          <w:highlight w:val="none"/>
          <w:lang w:val="en-US" w:eastAsia="zh-CN"/>
        </w:rPr>
      </w:pPr>
      <w:bookmarkStart w:id="1" w:name="_Hlk51156883"/>
      <w:r>
        <w:rPr>
          <w:rFonts w:hint="eastAsia" w:ascii="仿宋_GB2312" w:hAnsi="仿宋_GB2312" w:eastAsia="仿宋_GB2312" w:cs="仿宋_GB2312"/>
          <w:color w:val="auto"/>
          <w:kern w:val="0"/>
          <w:sz w:val="28"/>
          <w:szCs w:val="28"/>
          <w:highlight w:val="none"/>
          <w:lang w:val="en-US" w:eastAsia="zh-CN"/>
        </w:rPr>
        <w:t>承租人当月应缴纳电费=承租人当月用电量×轨道交通当月平均电价。</w:t>
      </w:r>
    </w:p>
    <w:bookmarkEnd w:id="1"/>
    <w:p w14:paraId="49A3C85E">
      <w:pPr>
        <w:widowControl/>
        <w:numPr>
          <w:ilvl w:val="0"/>
          <w:numId w:val="0"/>
        </w:numPr>
        <w:spacing w:line="360" w:lineRule="auto"/>
        <w:ind w:left="0" w:right="42" w:rightChars="20" w:firstLine="560" w:firstLineChars="200"/>
        <w:jc w:val="left"/>
        <w:outlineLvl w:val="9"/>
        <w:rPr>
          <w:rFonts w:hint="eastAsia" w:ascii="仿宋_GB2312" w:hAnsi="仿宋_GB2312" w:eastAsia="仿宋_GB2312" w:cs="仿宋_GB2312"/>
          <w:color w:val="auto"/>
          <w:kern w:val="0"/>
          <w:sz w:val="28"/>
          <w:szCs w:val="28"/>
          <w:highlight w:val="none"/>
          <w:lang w:val="en-US" w:eastAsia="zh-CN"/>
        </w:rPr>
      </w:pPr>
      <w:r>
        <w:rPr>
          <w:rFonts w:hint="eastAsia" w:ascii="仿宋_GB2312" w:hAnsi="仿宋_GB2312" w:eastAsia="仿宋_GB2312" w:cs="仿宋_GB2312"/>
          <w:color w:val="auto"/>
          <w:kern w:val="0"/>
          <w:sz w:val="28"/>
          <w:szCs w:val="28"/>
          <w:highlight w:val="none"/>
          <w:lang w:val="en-US" w:eastAsia="zh-CN"/>
        </w:rPr>
        <w:t>（2）承租人当月用电量是指出租人供电输出端电表当月抄表值与上次抄表值之差。</w:t>
      </w:r>
    </w:p>
    <w:p w14:paraId="704B1D32">
      <w:pPr>
        <w:widowControl/>
        <w:numPr>
          <w:ilvl w:val="0"/>
          <w:numId w:val="0"/>
        </w:numPr>
        <w:autoSpaceDE/>
        <w:autoSpaceDN/>
        <w:adjustRightInd/>
        <w:spacing w:line="360" w:lineRule="auto"/>
        <w:ind w:right="42" w:rightChars="20" w:firstLine="560" w:firstLineChars="200"/>
        <w:jc w:val="left"/>
        <w:outlineLvl w:val="9"/>
        <w:rPr>
          <w:rFonts w:hint="eastAsia" w:ascii="仿宋_GB2312" w:hAnsi="仿宋_GB2312" w:eastAsia="仿宋_GB2312" w:cs="仿宋_GB2312"/>
          <w:color w:val="auto"/>
          <w:kern w:val="0"/>
          <w:sz w:val="28"/>
          <w:szCs w:val="28"/>
          <w:highlight w:val="none"/>
          <w:lang w:val="en-US" w:eastAsia="zh-CN"/>
        </w:rPr>
      </w:pPr>
      <w:r>
        <w:rPr>
          <w:rFonts w:hint="eastAsia" w:ascii="仿宋_GB2312" w:hAnsi="仿宋_GB2312" w:eastAsia="仿宋_GB2312" w:cs="仿宋_GB2312"/>
          <w:color w:val="auto"/>
          <w:kern w:val="0"/>
          <w:sz w:val="28"/>
          <w:szCs w:val="28"/>
          <w:highlight w:val="none"/>
          <w:lang w:val="en-US" w:eastAsia="zh-CN"/>
        </w:rPr>
        <w:t>（3）轨道交通当月平均电价</w:t>
      </w:r>
    </w:p>
    <w:p w14:paraId="32A98BE9">
      <w:pPr>
        <w:widowControl/>
        <w:numPr>
          <w:ilvl w:val="0"/>
          <w:numId w:val="0"/>
        </w:numPr>
        <w:autoSpaceDE/>
        <w:autoSpaceDN/>
        <w:adjustRightInd/>
        <w:spacing w:line="360" w:lineRule="auto"/>
        <w:ind w:right="42" w:rightChars="20" w:firstLine="560" w:firstLineChars="200"/>
        <w:jc w:val="left"/>
        <w:outlineLvl w:val="9"/>
        <w:rPr>
          <w:rFonts w:hint="eastAsia" w:ascii="仿宋_GB2312" w:hAnsi="仿宋_GB2312" w:eastAsia="仿宋_GB2312" w:cs="仿宋_GB2312"/>
          <w:color w:val="auto"/>
          <w:kern w:val="0"/>
          <w:sz w:val="28"/>
          <w:szCs w:val="28"/>
          <w:highlight w:val="none"/>
          <w:lang w:val="en-US" w:eastAsia="zh-CN"/>
        </w:rPr>
      </w:pPr>
      <w:r>
        <w:rPr>
          <w:rFonts w:hint="eastAsia" w:ascii="仿宋_GB2312" w:hAnsi="仿宋_GB2312" w:eastAsia="仿宋_GB2312" w:cs="仿宋_GB2312"/>
          <w:color w:val="auto"/>
          <w:kern w:val="0"/>
          <w:sz w:val="28"/>
          <w:szCs w:val="28"/>
          <w:highlight w:val="none"/>
          <w:lang w:val="en-US" w:eastAsia="zh-CN"/>
        </w:rPr>
        <w:t>轨道交通当月平均电价=轨道交通运营单位当月向供电部门缴费总额÷轨道交通运营单位当月总用电量</w:t>
      </w:r>
    </w:p>
    <w:p w14:paraId="793B3CE4">
      <w:pPr>
        <w:numPr>
          <w:ilvl w:val="0"/>
          <w:numId w:val="0"/>
        </w:numPr>
        <w:autoSpaceDE/>
        <w:autoSpaceDN/>
        <w:adjustRightInd/>
        <w:spacing w:line="360" w:lineRule="auto"/>
        <w:ind w:right="42" w:rightChars="20" w:firstLine="560" w:firstLineChars="200"/>
        <w:jc w:val="left"/>
        <w:outlineLvl w:val="9"/>
        <w:rPr>
          <w:rFonts w:hint="default" w:ascii="仿宋_GB2312" w:hAnsi="仿宋_GB2312" w:eastAsia="仿宋_GB2312" w:cs="仿宋_GB2312"/>
          <w:color w:val="auto"/>
          <w:kern w:val="0"/>
          <w:sz w:val="28"/>
          <w:szCs w:val="28"/>
          <w:highlight w:val="none"/>
          <w:lang w:val="en-US" w:eastAsia="zh-CN"/>
        </w:rPr>
      </w:pPr>
      <w:r>
        <w:rPr>
          <w:rFonts w:hint="eastAsia" w:ascii="仿宋_GB2312" w:hAnsi="仿宋_GB2312" w:eastAsia="仿宋_GB2312" w:cs="仿宋_GB2312"/>
          <w:color w:val="auto"/>
          <w:kern w:val="0"/>
          <w:sz w:val="28"/>
          <w:szCs w:val="28"/>
          <w:highlight w:val="none"/>
          <w:lang w:val="en-US" w:eastAsia="zh-CN"/>
        </w:rPr>
        <w:t>4.采用轨道交通供水时的水费计算原则：</w:t>
      </w:r>
    </w:p>
    <w:p w14:paraId="709A548D">
      <w:pPr>
        <w:widowControl/>
        <w:numPr>
          <w:ilvl w:val="0"/>
          <w:numId w:val="0"/>
        </w:numPr>
        <w:autoSpaceDE/>
        <w:autoSpaceDN/>
        <w:adjustRightInd/>
        <w:spacing w:line="360" w:lineRule="auto"/>
        <w:ind w:right="42" w:rightChars="20" w:firstLine="560" w:firstLineChars="200"/>
        <w:jc w:val="left"/>
        <w:outlineLvl w:val="9"/>
        <w:rPr>
          <w:rFonts w:hint="eastAsia" w:ascii="仿宋_GB2312" w:hAnsi="仿宋_GB2312" w:eastAsia="仿宋_GB2312" w:cs="仿宋_GB2312"/>
          <w:color w:val="auto"/>
          <w:kern w:val="0"/>
          <w:sz w:val="28"/>
          <w:szCs w:val="28"/>
          <w:highlight w:val="none"/>
          <w:lang w:val="en-US" w:eastAsia="zh-CN"/>
        </w:rPr>
      </w:pPr>
      <w:r>
        <w:rPr>
          <w:rFonts w:hint="eastAsia" w:ascii="仿宋_GB2312" w:hAnsi="仿宋_GB2312" w:eastAsia="仿宋_GB2312" w:cs="仿宋_GB2312"/>
          <w:color w:val="auto"/>
          <w:kern w:val="0"/>
          <w:sz w:val="28"/>
          <w:szCs w:val="28"/>
          <w:highlight w:val="none"/>
          <w:lang w:val="en-US" w:eastAsia="zh-CN"/>
        </w:rPr>
        <w:t>（1）计算方式</w:t>
      </w:r>
    </w:p>
    <w:p w14:paraId="6E645AFC">
      <w:pPr>
        <w:widowControl/>
        <w:numPr>
          <w:ilvl w:val="0"/>
          <w:numId w:val="0"/>
        </w:numPr>
        <w:autoSpaceDE/>
        <w:autoSpaceDN/>
        <w:adjustRightInd/>
        <w:spacing w:line="360" w:lineRule="auto"/>
        <w:ind w:right="42" w:rightChars="20" w:firstLine="560" w:firstLineChars="200"/>
        <w:jc w:val="left"/>
        <w:outlineLvl w:val="9"/>
        <w:rPr>
          <w:rFonts w:hint="eastAsia" w:ascii="仿宋_GB2312" w:hAnsi="仿宋_GB2312" w:eastAsia="仿宋_GB2312" w:cs="仿宋_GB2312"/>
          <w:color w:val="auto"/>
          <w:kern w:val="0"/>
          <w:sz w:val="28"/>
          <w:szCs w:val="28"/>
          <w:highlight w:val="none"/>
          <w:lang w:val="en-US" w:eastAsia="zh-CN"/>
        </w:rPr>
      </w:pPr>
      <w:r>
        <w:rPr>
          <w:rFonts w:hint="eastAsia" w:ascii="仿宋_GB2312" w:hAnsi="仿宋_GB2312" w:eastAsia="仿宋_GB2312" w:cs="仿宋_GB2312"/>
          <w:color w:val="auto"/>
          <w:kern w:val="0"/>
          <w:sz w:val="28"/>
          <w:szCs w:val="28"/>
          <w:highlight w:val="none"/>
          <w:lang w:val="en-US" w:eastAsia="zh-CN"/>
        </w:rPr>
        <w:t>承租人当月应缴纳水费=承租人当月用水量×轨道交通当月用水综合单价。</w:t>
      </w:r>
    </w:p>
    <w:p w14:paraId="4047B2DB">
      <w:pPr>
        <w:widowControl/>
        <w:numPr>
          <w:ilvl w:val="0"/>
          <w:numId w:val="0"/>
        </w:numPr>
        <w:spacing w:line="360" w:lineRule="auto"/>
        <w:ind w:left="0" w:right="42" w:rightChars="20" w:firstLine="560" w:firstLineChars="200"/>
        <w:jc w:val="left"/>
        <w:outlineLvl w:val="9"/>
        <w:rPr>
          <w:rFonts w:hint="eastAsia" w:ascii="仿宋_GB2312" w:hAnsi="仿宋_GB2312" w:eastAsia="仿宋_GB2312" w:cs="仿宋_GB2312"/>
          <w:color w:val="auto"/>
          <w:kern w:val="0"/>
          <w:sz w:val="28"/>
          <w:szCs w:val="28"/>
          <w:highlight w:val="none"/>
          <w:lang w:val="en-US" w:eastAsia="zh-CN"/>
        </w:rPr>
      </w:pPr>
      <w:r>
        <w:rPr>
          <w:rFonts w:hint="eastAsia" w:ascii="仿宋_GB2312" w:hAnsi="仿宋_GB2312" w:eastAsia="仿宋_GB2312" w:cs="仿宋_GB2312"/>
          <w:color w:val="auto"/>
          <w:kern w:val="0"/>
          <w:sz w:val="28"/>
          <w:szCs w:val="28"/>
          <w:highlight w:val="none"/>
          <w:lang w:val="en-US" w:eastAsia="zh-CN"/>
        </w:rPr>
        <w:t>（2）承租人当月用水量是指出租人供水输出端水表当月抄表值与上次抄表值之差。</w:t>
      </w:r>
    </w:p>
    <w:p w14:paraId="7A6F28AC">
      <w:pPr>
        <w:widowControl/>
        <w:numPr>
          <w:ilvl w:val="0"/>
          <w:numId w:val="0"/>
        </w:numPr>
        <w:autoSpaceDE/>
        <w:autoSpaceDN/>
        <w:adjustRightInd/>
        <w:spacing w:line="360" w:lineRule="auto"/>
        <w:ind w:right="42" w:rightChars="20" w:firstLine="560" w:firstLineChars="200"/>
        <w:jc w:val="left"/>
        <w:outlineLvl w:val="9"/>
        <w:rPr>
          <w:rFonts w:hint="eastAsia" w:ascii="仿宋_GB2312" w:hAnsi="仿宋_GB2312" w:eastAsia="仿宋_GB2312" w:cs="仿宋_GB2312"/>
          <w:color w:val="auto"/>
          <w:kern w:val="0"/>
          <w:sz w:val="28"/>
          <w:szCs w:val="28"/>
          <w:highlight w:val="none"/>
          <w:lang w:val="en-US" w:eastAsia="zh-CN"/>
        </w:rPr>
      </w:pPr>
      <w:r>
        <w:rPr>
          <w:rFonts w:hint="eastAsia" w:ascii="仿宋_GB2312" w:hAnsi="仿宋_GB2312" w:eastAsia="仿宋_GB2312" w:cs="仿宋_GB2312"/>
          <w:color w:val="auto"/>
          <w:kern w:val="0"/>
          <w:sz w:val="28"/>
          <w:szCs w:val="28"/>
          <w:highlight w:val="none"/>
          <w:lang w:val="en-US" w:eastAsia="zh-CN"/>
        </w:rPr>
        <w:t>（3）轨道交通当月用水综合单价</w:t>
      </w:r>
    </w:p>
    <w:p w14:paraId="332B0B12">
      <w:pPr>
        <w:widowControl/>
        <w:numPr>
          <w:ilvl w:val="0"/>
          <w:numId w:val="0"/>
        </w:numPr>
        <w:autoSpaceDE/>
        <w:autoSpaceDN/>
        <w:adjustRightInd/>
        <w:spacing w:line="360" w:lineRule="auto"/>
        <w:ind w:right="42" w:rightChars="20" w:firstLine="560" w:firstLineChars="200"/>
        <w:jc w:val="left"/>
        <w:outlineLvl w:val="9"/>
        <w:rPr>
          <w:rFonts w:hint="eastAsia" w:ascii="仿宋_GB2312" w:hAnsi="仿宋_GB2312" w:eastAsia="仿宋_GB2312" w:cs="仿宋_GB2312"/>
          <w:color w:val="auto"/>
          <w:kern w:val="0"/>
          <w:sz w:val="28"/>
          <w:szCs w:val="28"/>
          <w:highlight w:val="none"/>
          <w:lang w:val="en-US" w:eastAsia="zh-CN"/>
        </w:rPr>
      </w:pPr>
      <w:r>
        <w:rPr>
          <w:rFonts w:hint="eastAsia" w:ascii="仿宋_GB2312" w:hAnsi="仿宋_GB2312" w:eastAsia="仿宋_GB2312" w:cs="仿宋_GB2312"/>
          <w:color w:val="auto"/>
          <w:kern w:val="0"/>
          <w:sz w:val="28"/>
          <w:szCs w:val="28"/>
          <w:highlight w:val="none"/>
          <w:lang w:val="en-US" w:eastAsia="zh-CN"/>
        </w:rPr>
        <w:t>因供水部门向轨道交通运营单位开具的票据税率较低、轨道交通运营单位能开具的发票税率较高，中间税差由承租人承担，当月用水综合单价计算公式如下：</w:t>
      </w:r>
    </w:p>
    <w:p w14:paraId="0D479352">
      <w:pPr>
        <w:widowControl/>
        <w:numPr>
          <w:ilvl w:val="0"/>
          <w:numId w:val="0"/>
        </w:numPr>
        <w:autoSpaceDE/>
        <w:autoSpaceDN/>
        <w:adjustRightInd/>
        <w:spacing w:line="360" w:lineRule="auto"/>
        <w:ind w:right="42" w:rightChars="20" w:firstLine="560" w:firstLineChars="200"/>
        <w:jc w:val="left"/>
        <w:outlineLvl w:val="9"/>
        <w:rPr>
          <w:rFonts w:hint="eastAsia" w:ascii="仿宋_GB2312" w:hAnsi="仿宋_GB2312" w:eastAsia="仿宋_GB2312" w:cs="仿宋_GB2312"/>
          <w:color w:val="auto"/>
          <w:kern w:val="0"/>
          <w:sz w:val="28"/>
          <w:szCs w:val="28"/>
          <w:highlight w:val="none"/>
          <w:lang w:val="en-US" w:eastAsia="zh-CN"/>
        </w:rPr>
      </w:pPr>
      <w:r>
        <w:rPr>
          <w:rFonts w:hint="eastAsia" w:ascii="仿宋_GB2312" w:hAnsi="仿宋_GB2312" w:eastAsia="仿宋_GB2312" w:cs="仿宋_GB2312"/>
          <w:color w:val="auto"/>
          <w:kern w:val="0"/>
          <w:sz w:val="28"/>
          <w:szCs w:val="28"/>
          <w:highlight w:val="none"/>
          <w:lang w:val="en-US" w:eastAsia="zh-CN"/>
        </w:rPr>
        <w:t>轨道交通当月用水综合单价=当月自来水缴纳单价÷(1+供水公司应纳税税率）×（1+轨道交通运营单位应纳税税率）+污水处理费单价×（1+轨道交通运营单位应纳税税率）+水资源税单价×（1+轨道交通运营单位应纳税税率）。</w:t>
      </w:r>
    </w:p>
    <w:p w14:paraId="17B14C6B">
      <w:pPr>
        <w:widowControl/>
        <w:numPr>
          <w:ilvl w:val="0"/>
          <w:numId w:val="0"/>
        </w:numPr>
        <w:autoSpaceDE/>
        <w:autoSpaceDN/>
        <w:adjustRightInd/>
        <w:spacing w:line="360" w:lineRule="auto"/>
        <w:ind w:right="42" w:rightChars="20" w:firstLine="560" w:firstLineChars="200"/>
        <w:jc w:val="left"/>
        <w:outlineLvl w:val="9"/>
        <w:rPr>
          <w:rFonts w:hint="eastAsia" w:ascii="仿宋_GB2312" w:hAnsi="仿宋_GB2312" w:eastAsia="仿宋_GB2312" w:cs="仿宋_GB2312"/>
          <w:color w:val="auto"/>
          <w:kern w:val="0"/>
          <w:sz w:val="28"/>
          <w:szCs w:val="28"/>
          <w:highlight w:val="none"/>
          <w:lang w:val="en-US" w:eastAsia="zh-CN"/>
        </w:rPr>
      </w:pPr>
      <w:r>
        <w:rPr>
          <w:rFonts w:hint="eastAsia" w:ascii="仿宋_GB2312" w:hAnsi="仿宋_GB2312" w:eastAsia="仿宋_GB2312" w:cs="仿宋_GB2312"/>
          <w:color w:val="auto"/>
          <w:kern w:val="0"/>
          <w:sz w:val="28"/>
          <w:szCs w:val="28"/>
          <w:highlight w:val="none"/>
          <w:lang w:val="en-US" w:eastAsia="zh-CN"/>
        </w:rPr>
        <w:t>（4）轨道交通当月用水综合单价计算方式以供水公司实际收取类目进行调整，税率以国家实时税收政策为准。</w:t>
      </w:r>
    </w:p>
    <w:p w14:paraId="0B048F40">
      <w:pPr>
        <w:numPr>
          <w:ilvl w:val="0"/>
          <w:numId w:val="0"/>
        </w:numPr>
        <w:adjustRightInd w:val="0"/>
        <w:spacing w:line="240" w:lineRule="auto"/>
        <w:ind w:right="42" w:rightChars="20"/>
        <w:jc w:val="left"/>
        <w:outlineLvl w:val="9"/>
        <w:rPr>
          <w:rFonts w:hint="eastAsia" w:ascii="黑体" w:hAnsi="黑体" w:eastAsia="黑体" w:cs="黑体"/>
          <w:color w:val="auto"/>
          <w:kern w:val="2"/>
          <w:sz w:val="28"/>
          <w:szCs w:val="28"/>
          <w:highlight w:val="none"/>
          <w:lang w:val="en-US" w:eastAsia="zh-CN"/>
        </w:rPr>
      </w:pPr>
      <w:r>
        <w:rPr>
          <w:rFonts w:hint="eastAsia" w:ascii="黑体" w:hAnsi="黑体" w:eastAsia="黑体" w:cs="黑体"/>
          <w:color w:val="auto"/>
          <w:kern w:val="2"/>
          <w:sz w:val="28"/>
          <w:szCs w:val="28"/>
          <w:highlight w:val="none"/>
          <w:lang w:val="en-US" w:eastAsia="zh-CN"/>
        </w:rPr>
        <w:t>履约担保</w:t>
      </w:r>
    </w:p>
    <w:p w14:paraId="45AC8AE3">
      <w:pPr>
        <w:numPr>
          <w:ilvl w:val="0"/>
          <w:numId w:val="0"/>
        </w:numPr>
        <w:adjustRightInd/>
        <w:spacing w:line="360" w:lineRule="auto"/>
        <w:ind w:right="42" w:rightChars="20" w:firstLine="560" w:firstLineChars="200"/>
        <w:jc w:val="left"/>
        <w:outlineLvl w:val="9"/>
        <w:rPr>
          <w:rFonts w:hint="eastAsia" w:ascii="仿宋_GB2312" w:hAnsi="仿宋_GB2312" w:eastAsia="仿宋_GB2312" w:cs="仿宋_GB2312"/>
          <w:color w:val="auto"/>
          <w:kern w:val="0"/>
          <w:sz w:val="28"/>
          <w:szCs w:val="28"/>
          <w:highlight w:val="none"/>
          <w:lang w:val="en-US" w:eastAsia="zh-CN"/>
        </w:rPr>
      </w:pPr>
      <w:r>
        <w:rPr>
          <w:rFonts w:hint="eastAsia" w:ascii="仿宋_GB2312" w:hAnsi="仿宋_GB2312" w:eastAsia="仿宋_GB2312" w:cs="仿宋_GB2312"/>
          <w:color w:val="auto"/>
          <w:kern w:val="0"/>
          <w:sz w:val="28"/>
          <w:szCs w:val="28"/>
          <w:highlight w:val="none"/>
          <w:lang w:eastAsia="zh-CN"/>
        </w:rPr>
        <w:t>（</w:t>
      </w:r>
      <w:r>
        <w:rPr>
          <w:rFonts w:hint="eastAsia" w:ascii="仿宋_GB2312" w:hAnsi="仿宋_GB2312" w:eastAsia="仿宋_GB2312" w:cs="仿宋_GB2312"/>
          <w:color w:val="auto"/>
          <w:kern w:val="0"/>
          <w:sz w:val="28"/>
          <w:szCs w:val="28"/>
          <w:highlight w:val="none"/>
          <w:lang w:val="en-US" w:eastAsia="zh-CN"/>
        </w:rPr>
        <w:t>一</w:t>
      </w:r>
      <w:r>
        <w:rPr>
          <w:rFonts w:hint="eastAsia" w:ascii="仿宋_GB2312" w:hAnsi="仿宋_GB2312" w:eastAsia="仿宋_GB2312" w:cs="仿宋_GB2312"/>
          <w:color w:val="auto"/>
          <w:kern w:val="0"/>
          <w:sz w:val="28"/>
          <w:szCs w:val="28"/>
          <w:highlight w:val="none"/>
          <w:lang w:eastAsia="zh-CN"/>
        </w:rPr>
        <w:t>）</w:t>
      </w:r>
      <w:r>
        <w:rPr>
          <w:rFonts w:hint="eastAsia" w:ascii="仿宋_GB2312" w:hAnsi="仿宋_GB2312" w:eastAsia="仿宋_GB2312" w:cs="仿宋_GB2312"/>
          <w:color w:val="auto"/>
          <w:kern w:val="0"/>
          <w:sz w:val="28"/>
          <w:szCs w:val="28"/>
          <w:highlight w:val="none"/>
        </w:rPr>
        <w:t>履约担保应以银行转账或</w:t>
      </w:r>
      <w:r>
        <w:rPr>
          <w:rFonts w:hint="eastAsia" w:ascii="仿宋_GB2312" w:hAnsi="仿宋_GB2312" w:eastAsia="仿宋_GB2312" w:cs="仿宋_GB2312"/>
          <w:color w:val="auto"/>
          <w:kern w:val="0"/>
          <w:sz w:val="28"/>
          <w:szCs w:val="28"/>
          <w:highlight w:val="none"/>
          <w:lang w:val="en-US" w:eastAsia="zh-CN"/>
        </w:rPr>
        <w:t>履约</w:t>
      </w:r>
      <w:r>
        <w:rPr>
          <w:rFonts w:hint="eastAsia" w:ascii="仿宋_GB2312" w:hAnsi="仿宋_GB2312" w:eastAsia="仿宋_GB2312" w:cs="仿宋_GB2312"/>
          <w:color w:val="auto"/>
          <w:kern w:val="0"/>
          <w:sz w:val="28"/>
          <w:szCs w:val="28"/>
          <w:highlight w:val="none"/>
        </w:rPr>
        <w:t>保函的形式提交。</w:t>
      </w:r>
    </w:p>
    <w:p w14:paraId="3FF9B361">
      <w:pPr>
        <w:numPr>
          <w:ilvl w:val="0"/>
          <w:numId w:val="0"/>
        </w:numPr>
        <w:adjustRightInd/>
        <w:spacing w:line="360" w:lineRule="auto"/>
        <w:ind w:right="42" w:rightChars="20" w:firstLine="560" w:firstLineChars="200"/>
        <w:jc w:val="left"/>
        <w:outlineLvl w:val="9"/>
        <w:rPr>
          <w:rFonts w:hint="eastAsia" w:ascii="仿宋_GB2312" w:hAnsi="仿宋_GB2312" w:eastAsia="仿宋_GB2312" w:cs="仿宋_GB2312"/>
          <w:color w:val="auto"/>
          <w:kern w:val="0"/>
          <w:sz w:val="28"/>
          <w:szCs w:val="28"/>
          <w:highlight w:val="none"/>
          <w:lang w:val="en-US" w:eastAsia="zh-CN"/>
        </w:rPr>
      </w:pPr>
      <w:r>
        <w:rPr>
          <w:rFonts w:hint="eastAsia" w:ascii="仿宋_GB2312" w:hAnsi="仿宋_GB2312" w:eastAsia="仿宋_GB2312" w:cs="仿宋_GB2312"/>
          <w:color w:val="auto"/>
          <w:kern w:val="0"/>
          <w:sz w:val="28"/>
          <w:szCs w:val="28"/>
          <w:highlight w:val="none"/>
          <w:lang w:val="en-US" w:eastAsia="zh-CN"/>
        </w:rPr>
        <w:t>（二）履约保证金为成交价首年租金的50%（以万元为单位向上取整），承租人应在合同签订之前将履约保证金提交至出租人指定账户。</w:t>
      </w:r>
    </w:p>
    <w:p w14:paraId="0178F573">
      <w:pPr>
        <w:numPr>
          <w:ilvl w:val="0"/>
          <w:numId w:val="0"/>
        </w:numPr>
        <w:adjustRightInd/>
        <w:spacing w:line="360" w:lineRule="auto"/>
        <w:ind w:right="42" w:rightChars="20" w:firstLine="560" w:firstLineChars="200"/>
        <w:jc w:val="left"/>
        <w:outlineLvl w:val="9"/>
        <w:rPr>
          <w:rFonts w:hint="eastAsia" w:ascii="仿宋_GB2312" w:hAnsi="仿宋_GB2312" w:eastAsia="仿宋_GB2312" w:cs="仿宋_GB2312"/>
          <w:color w:val="auto"/>
          <w:kern w:val="0"/>
          <w:sz w:val="28"/>
          <w:szCs w:val="28"/>
          <w:highlight w:val="none"/>
          <w:lang w:val="en-US" w:eastAsia="zh-CN"/>
        </w:rPr>
      </w:pPr>
      <w:r>
        <w:rPr>
          <w:rFonts w:hint="eastAsia" w:ascii="仿宋_GB2312" w:hAnsi="仿宋_GB2312" w:eastAsia="仿宋_GB2312" w:cs="仿宋_GB2312"/>
          <w:color w:val="auto"/>
          <w:kern w:val="0"/>
          <w:sz w:val="28"/>
          <w:szCs w:val="28"/>
          <w:highlight w:val="none"/>
          <w:lang w:val="en-US" w:eastAsia="zh-CN"/>
        </w:rPr>
        <w:t>（三）合同执行期间，承租人可将履约保证金换为履约保函，</w:t>
      </w:r>
    </w:p>
    <w:p w14:paraId="6954A858">
      <w:pPr>
        <w:numPr>
          <w:ilvl w:val="0"/>
          <w:numId w:val="0"/>
        </w:numPr>
        <w:adjustRightInd/>
        <w:spacing w:line="360" w:lineRule="auto"/>
        <w:ind w:right="42" w:rightChars="20" w:firstLine="560" w:firstLineChars="200"/>
        <w:jc w:val="left"/>
        <w:outlineLvl w:val="9"/>
        <w:rPr>
          <w:rFonts w:hint="eastAsia" w:ascii="仿宋_GB2312" w:hAnsi="仿宋_GB2312" w:eastAsia="仿宋_GB2312" w:cs="仿宋_GB2312"/>
          <w:color w:val="auto"/>
          <w:kern w:val="0"/>
          <w:sz w:val="28"/>
          <w:szCs w:val="28"/>
          <w:highlight w:val="none"/>
          <w:lang w:val="en-US" w:eastAsia="zh-CN"/>
        </w:rPr>
      </w:pPr>
      <w:r>
        <w:rPr>
          <w:rFonts w:hint="eastAsia" w:ascii="仿宋_GB2312" w:hAnsi="仿宋_GB2312" w:eastAsia="仿宋_GB2312" w:cs="仿宋_GB2312"/>
          <w:color w:val="auto"/>
          <w:kern w:val="0"/>
          <w:sz w:val="28"/>
          <w:szCs w:val="28"/>
          <w:highlight w:val="none"/>
          <w:lang w:val="en-US" w:eastAsia="zh-CN"/>
        </w:rPr>
        <w:t>1.保函要求：如以银行保函形式提交履约担保，该保函应由出租人认可的国内银行出具，且应为无条件的、不可撤销的、有效的见索即付履约保函。</w:t>
      </w:r>
    </w:p>
    <w:p w14:paraId="55D8D248">
      <w:pPr>
        <w:numPr>
          <w:ilvl w:val="0"/>
          <w:numId w:val="0"/>
        </w:numPr>
        <w:adjustRightInd/>
        <w:spacing w:line="360" w:lineRule="auto"/>
        <w:ind w:right="42" w:rightChars="20" w:firstLine="560" w:firstLineChars="200"/>
        <w:jc w:val="left"/>
        <w:outlineLvl w:val="9"/>
        <w:rPr>
          <w:rFonts w:hint="default" w:ascii="仿宋_GB2312" w:hAnsi="仿宋_GB2312" w:eastAsia="仿宋_GB2312" w:cs="仿宋_GB2312"/>
          <w:color w:val="auto"/>
          <w:kern w:val="0"/>
          <w:sz w:val="28"/>
          <w:szCs w:val="28"/>
          <w:highlight w:val="none"/>
          <w:lang w:val="en-US" w:eastAsia="zh-CN"/>
        </w:rPr>
      </w:pPr>
      <w:r>
        <w:rPr>
          <w:rFonts w:hint="eastAsia" w:ascii="仿宋_GB2312" w:hAnsi="仿宋_GB2312" w:eastAsia="仿宋_GB2312" w:cs="仿宋_GB2312"/>
          <w:color w:val="auto"/>
          <w:kern w:val="0"/>
          <w:sz w:val="28"/>
          <w:szCs w:val="28"/>
          <w:highlight w:val="none"/>
          <w:lang w:val="en-US" w:eastAsia="zh-CN"/>
        </w:rPr>
        <w:t>2.保函有效期：承租人应确保履约保函在经营期内始终有效。在履约保函有效期满前15个工作日，承租人必须向出租人提交有效期已延长的履约保函。若承租人未能按规定延长履约担保有效期，出租人有权提取履约保函项下的全部金额作为履约保证金，直至下一份有效银行保函生效，届时出租人应将履约保证金无息退还承租人。</w:t>
      </w:r>
    </w:p>
    <w:p w14:paraId="7C1C554E">
      <w:pPr>
        <w:numPr>
          <w:ilvl w:val="0"/>
          <w:numId w:val="0"/>
        </w:numPr>
        <w:adjustRightInd/>
        <w:spacing w:line="360" w:lineRule="auto"/>
        <w:ind w:right="42" w:rightChars="20" w:firstLine="560" w:firstLineChars="200"/>
        <w:jc w:val="left"/>
        <w:outlineLvl w:val="9"/>
        <w:rPr>
          <w:rFonts w:hint="eastAsia" w:ascii="仿宋_GB2312" w:hAnsi="仿宋_GB2312" w:eastAsia="仿宋_GB2312" w:cs="仿宋_GB2312"/>
          <w:color w:val="auto"/>
          <w:kern w:val="0"/>
          <w:sz w:val="28"/>
          <w:szCs w:val="28"/>
          <w:highlight w:val="none"/>
          <w:lang w:val="en-US" w:eastAsia="zh-CN"/>
        </w:rPr>
      </w:pPr>
      <w:r>
        <w:rPr>
          <w:rFonts w:hint="eastAsia" w:ascii="仿宋_GB2312" w:hAnsi="仿宋_GB2312" w:eastAsia="仿宋_GB2312" w:cs="仿宋_GB2312"/>
          <w:color w:val="auto"/>
          <w:kern w:val="0"/>
          <w:sz w:val="28"/>
          <w:szCs w:val="28"/>
          <w:highlight w:val="none"/>
          <w:lang w:val="en-US" w:eastAsia="zh-CN"/>
        </w:rPr>
        <w:t>（四）中标人缴纳履约保证金且自中标之日起2个月仍未与出租人签订租赁合同的，出租人有权扣除履约保证金、取消本次交易且不承担任何法律和赔偿责任。</w:t>
      </w:r>
    </w:p>
    <w:p w14:paraId="330233A0">
      <w:pPr>
        <w:numPr>
          <w:ilvl w:val="0"/>
          <w:numId w:val="0"/>
        </w:numPr>
        <w:adjustRightInd/>
        <w:spacing w:line="360" w:lineRule="auto"/>
        <w:ind w:right="42" w:rightChars="20" w:firstLine="560" w:firstLineChars="200"/>
        <w:jc w:val="left"/>
        <w:outlineLvl w:val="9"/>
        <w:rPr>
          <w:rFonts w:hint="eastAsia" w:ascii="仿宋_GB2312" w:hAnsi="仿宋_GB2312" w:eastAsia="仿宋_GB2312" w:cs="仿宋_GB2312"/>
          <w:color w:val="auto"/>
          <w:kern w:val="0"/>
          <w:sz w:val="28"/>
          <w:szCs w:val="28"/>
          <w:highlight w:val="none"/>
          <w:lang w:val="en-US" w:eastAsia="zh-CN"/>
        </w:rPr>
      </w:pPr>
      <w:r>
        <w:rPr>
          <w:rFonts w:hint="eastAsia" w:ascii="仿宋_GB2312" w:hAnsi="仿宋_GB2312" w:eastAsia="仿宋_GB2312" w:cs="仿宋_GB2312"/>
          <w:color w:val="auto"/>
          <w:kern w:val="0"/>
          <w:sz w:val="28"/>
          <w:szCs w:val="28"/>
          <w:highlight w:val="none"/>
          <w:lang w:val="en-US" w:eastAsia="zh-CN"/>
        </w:rPr>
        <w:t>（五）履约保证金的使用</w:t>
      </w:r>
    </w:p>
    <w:p w14:paraId="1E697A6F">
      <w:pPr>
        <w:numPr>
          <w:ilvl w:val="0"/>
          <w:numId w:val="0"/>
        </w:numPr>
        <w:adjustRightInd/>
        <w:spacing w:line="360" w:lineRule="auto"/>
        <w:ind w:right="42" w:rightChars="20" w:firstLine="560" w:firstLineChars="200"/>
        <w:jc w:val="left"/>
        <w:outlineLvl w:val="9"/>
        <w:rPr>
          <w:rFonts w:hint="eastAsia" w:ascii="仿宋_GB2312" w:hAnsi="仿宋_GB2312" w:eastAsia="仿宋_GB2312" w:cs="仿宋_GB2312"/>
          <w:color w:val="auto"/>
          <w:kern w:val="0"/>
          <w:sz w:val="28"/>
          <w:szCs w:val="28"/>
          <w:highlight w:val="none"/>
        </w:rPr>
      </w:pPr>
      <w:r>
        <w:rPr>
          <w:rFonts w:hint="eastAsia" w:ascii="仿宋_GB2312" w:hAnsi="仿宋_GB2312" w:eastAsia="仿宋_GB2312" w:cs="仿宋_GB2312"/>
          <w:color w:val="auto"/>
          <w:kern w:val="0"/>
          <w:sz w:val="28"/>
          <w:szCs w:val="28"/>
          <w:highlight w:val="none"/>
          <w:lang w:val="en-US" w:eastAsia="zh-CN"/>
        </w:rPr>
        <w:t>1.租赁期限内，若承租人存在违约或其他损害出租人利益的行为，出租人有权从履约保函/履约保证金中扣除承租人应付的违约金、赔偿金、租金、水电费或损失，承租人应将不足部分和被扣除的履约保证金在扣除后30个自然日内予以补足。</w:t>
      </w:r>
    </w:p>
    <w:p w14:paraId="5E1B347B">
      <w:pPr>
        <w:numPr>
          <w:ilvl w:val="0"/>
          <w:numId w:val="0"/>
        </w:numPr>
        <w:adjustRightInd/>
        <w:spacing w:line="360" w:lineRule="auto"/>
        <w:ind w:right="42" w:rightChars="20" w:firstLine="560" w:firstLineChars="200"/>
        <w:jc w:val="left"/>
        <w:outlineLvl w:val="9"/>
        <w:rPr>
          <w:rFonts w:hint="eastAsia" w:ascii="仿宋_GB2312" w:hAnsi="仿宋_GB2312" w:eastAsia="仿宋_GB2312" w:cs="仿宋_GB2312"/>
          <w:color w:val="auto"/>
          <w:kern w:val="0"/>
          <w:sz w:val="28"/>
          <w:szCs w:val="28"/>
          <w:highlight w:val="none"/>
          <w:lang w:val="en-US" w:eastAsia="zh-CN"/>
        </w:rPr>
      </w:pPr>
      <w:r>
        <w:rPr>
          <w:rFonts w:hint="eastAsia" w:ascii="仿宋_GB2312" w:hAnsi="仿宋_GB2312" w:eastAsia="仿宋_GB2312" w:cs="仿宋_GB2312"/>
          <w:color w:val="auto"/>
          <w:kern w:val="0"/>
          <w:sz w:val="28"/>
          <w:szCs w:val="28"/>
          <w:highlight w:val="none"/>
          <w:lang w:val="en-US" w:eastAsia="zh-CN"/>
        </w:rPr>
        <w:t>2.</w:t>
      </w:r>
      <w:r>
        <w:rPr>
          <w:rFonts w:hint="eastAsia" w:ascii="仿宋_GB2312" w:hAnsi="仿宋_GB2312" w:eastAsia="仿宋_GB2312" w:cs="仿宋_GB2312"/>
          <w:color w:val="auto"/>
          <w:kern w:val="0"/>
          <w:sz w:val="28"/>
          <w:szCs w:val="28"/>
          <w:highlight w:val="none"/>
          <w:lang w:eastAsia="zh-CN"/>
        </w:rPr>
        <w:t>承租人</w:t>
      </w:r>
      <w:r>
        <w:rPr>
          <w:rFonts w:hint="eastAsia" w:ascii="仿宋_GB2312" w:hAnsi="仿宋_GB2312" w:eastAsia="仿宋_GB2312" w:cs="仿宋_GB2312"/>
          <w:color w:val="auto"/>
          <w:kern w:val="0"/>
          <w:sz w:val="28"/>
          <w:szCs w:val="28"/>
          <w:highlight w:val="none"/>
        </w:rPr>
        <w:t>逾期未补足履约保证金的，每逾期1</w:t>
      </w:r>
      <w:r>
        <w:rPr>
          <w:rFonts w:hint="eastAsia" w:ascii="仿宋_GB2312" w:hAnsi="仿宋_GB2312" w:eastAsia="仿宋_GB2312" w:cs="仿宋_GB2312"/>
          <w:color w:val="auto"/>
          <w:kern w:val="0"/>
          <w:sz w:val="28"/>
          <w:szCs w:val="28"/>
          <w:highlight w:val="none"/>
          <w:lang w:val="en-US" w:eastAsia="zh-CN"/>
        </w:rPr>
        <w:t>个自然日</w:t>
      </w:r>
      <w:r>
        <w:rPr>
          <w:rFonts w:hint="eastAsia" w:ascii="仿宋_GB2312" w:hAnsi="仿宋_GB2312" w:eastAsia="仿宋_GB2312" w:cs="仿宋_GB2312"/>
          <w:color w:val="auto"/>
          <w:kern w:val="0"/>
          <w:sz w:val="28"/>
          <w:szCs w:val="28"/>
          <w:highlight w:val="none"/>
        </w:rPr>
        <w:t>，按未补足履约保证金金额的0.2‰支付违约金。逾期30</w:t>
      </w:r>
      <w:r>
        <w:rPr>
          <w:rFonts w:hint="eastAsia" w:ascii="仿宋_GB2312" w:hAnsi="仿宋_GB2312" w:eastAsia="仿宋_GB2312" w:cs="仿宋_GB2312"/>
          <w:color w:val="auto"/>
          <w:kern w:val="0"/>
          <w:sz w:val="28"/>
          <w:szCs w:val="28"/>
          <w:highlight w:val="none"/>
          <w:lang w:val="en-US" w:eastAsia="zh-CN"/>
        </w:rPr>
        <w:t>个自然日且未取得出租人同意的</w:t>
      </w:r>
      <w:r>
        <w:rPr>
          <w:rFonts w:hint="eastAsia" w:ascii="仿宋_GB2312" w:hAnsi="仿宋_GB2312" w:eastAsia="仿宋_GB2312" w:cs="仿宋_GB2312"/>
          <w:color w:val="auto"/>
          <w:kern w:val="0"/>
          <w:sz w:val="28"/>
          <w:szCs w:val="28"/>
          <w:highlight w:val="none"/>
        </w:rPr>
        <w:t>，扣除</w:t>
      </w:r>
      <w:r>
        <w:rPr>
          <w:rFonts w:hint="eastAsia" w:ascii="仿宋_GB2312" w:hAnsi="仿宋_GB2312" w:eastAsia="仿宋_GB2312" w:cs="仿宋_GB2312"/>
          <w:color w:val="auto"/>
          <w:kern w:val="0"/>
          <w:sz w:val="28"/>
          <w:szCs w:val="28"/>
          <w:highlight w:val="none"/>
          <w:lang w:val="en-US" w:eastAsia="zh-CN"/>
        </w:rPr>
        <w:t>剩余</w:t>
      </w:r>
      <w:r>
        <w:rPr>
          <w:rFonts w:hint="eastAsia" w:ascii="仿宋_GB2312" w:hAnsi="仿宋_GB2312" w:eastAsia="仿宋_GB2312" w:cs="仿宋_GB2312"/>
          <w:color w:val="auto"/>
          <w:kern w:val="0"/>
          <w:sz w:val="28"/>
          <w:szCs w:val="28"/>
          <w:highlight w:val="none"/>
        </w:rPr>
        <w:t>履约保证金作为违约金，同时</w:t>
      </w:r>
      <w:r>
        <w:rPr>
          <w:rFonts w:hint="eastAsia" w:ascii="仿宋_GB2312" w:hAnsi="仿宋_GB2312" w:eastAsia="仿宋_GB2312" w:cs="仿宋_GB2312"/>
          <w:color w:val="auto"/>
          <w:kern w:val="0"/>
          <w:sz w:val="28"/>
          <w:szCs w:val="28"/>
          <w:highlight w:val="none"/>
          <w:lang w:eastAsia="zh-CN"/>
        </w:rPr>
        <w:t>出租人</w:t>
      </w:r>
      <w:r>
        <w:rPr>
          <w:rFonts w:hint="eastAsia" w:ascii="仿宋_GB2312" w:hAnsi="仿宋_GB2312" w:eastAsia="仿宋_GB2312" w:cs="仿宋_GB2312"/>
          <w:color w:val="auto"/>
          <w:kern w:val="0"/>
          <w:sz w:val="28"/>
          <w:szCs w:val="28"/>
          <w:highlight w:val="none"/>
        </w:rPr>
        <w:t>有权单方解除本合同且不承担任何违约、赔偿</w:t>
      </w:r>
      <w:r>
        <w:rPr>
          <w:rFonts w:hint="eastAsia" w:ascii="仿宋_GB2312" w:hAnsi="仿宋_GB2312" w:eastAsia="仿宋_GB2312" w:cs="仿宋_GB2312"/>
          <w:color w:val="auto"/>
          <w:kern w:val="0"/>
          <w:sz w:val="28"/>
          <w:szCs w:val="28"/>
          <w:highlight w:val="none"/>
          <w:lang w:val="en-US" w:eastAsia="zh-CN"/>
        </w:rPr>
        <w:t>责任；因此给出租人造成损失的，出租人有权追究赔偿责任。</w:t>
      </w:r>
    </w:p>
    <w:p w14:paraId="2CBE39B6">
      <w:pPr>
        <w:numPr>
          <w:ilvl w:val="0"/>
          <w:numId w:val="0"/>
        </w:numPr>
        <w:adjustRightInd/>
        <w:spacing w:line="360" w:lineRule="auto"/>
        <w:ind w:right="42" w:rightChars="20" w:firstLine="560" w:firstLineChars="200"/>
        <w:jc w:val="left"/>
        <w:outlineLvl w:val="9"/>
        <w:rPr>
          <w:rFonts w:hint="eastAsia" w:ascii="仿宋_GB2312" w:hAnsi="仿宋_GB2312" w:eastAsia="仿宋_GB2312" w:cs="仿宋_GB2312"/>
          <w:color w:val="auto"/>
          <w:kern w:val="0"/>
          <w:sz w:val="28"/>
          <w:szCs w:val="28"/>
          <w:highlight w:val="none"/>
          <w:lang w:val="en-US" w:eastAsia="zh-CN"/>
        </w:rPr>
      </w:pPr>
      <w:r>
        <w:rPr>
          <w:rFonts w:hint="eastAsia" w:ascii="仿宋_GB2312" w:hAnsi="仿宋_GB2312" w:eastAsia="仿宋_GB2312" w:cs="仿宋_GB2312"/>
          <w:color w:val="auto"/>
          <w:kern w:val="0"/>
          <w:sz w:val="28"/>
          <w:szCs w:val="28"/>
          <w:highlight w:val="none"/>
          <w:lang w:val="en-US" w:eastAsia="zh-CN"/>
        </w:rPr>
        <w:t>3.在下列条件同时满足后30个自然日内，出租人将履约保函/</w:t>
      </w:r>
      <w:r>
        <w:rPr>
          <w:rFonts w:hint="eastAsia" w:ascii="仿宋_GB2312" w:hAnsi="仿宋_GB2312" w:eastAsia="仿宋_GB2312" w:cs="仿宋_GB2312"/>
          <w:color w:val="auto"/>
          <w:kern w:val="0"/>
          <w:sz w:val="28"/>
          <w:szCs w:val="28"/>
          <w:highlight w:val="none"/>
        </w:rPr>
        <w:t>履约保证金</w:t>
      </w:r>
      <w:r>
        <w:rPr>
          <w:rFonts w:hint="eastAsia" w:ascii="仿宋_GB2312" w:hAnsi="仿宋_GB2312" w:eastAsia="仿宋_GB2312" w:cs="仿宋_GB2312"/>
          <w:color w:val="auto"/>
          <w:kern w:val="0"/>
          <w:sz w:val="28"/>
          <w:szCs w:val="28"/>
          <w:highlight w:val="none"/>
          <w:lang w:val="en-US" w:eastAsia="zh-CN"/>
        </w:rPr>
        <w:t>的余额无息退回给承租人：</w:t>
      </w:r>
    </w:p>
    <w:p w14:paraId="2419D324">
      <w:pPr>
        <w:numPr>
          <w:ilvl w:val="0"/>
          <w:numId w:val="0"/>
        </w:numPr>
        <w:adjustRightInd/>
        <w:spacing w:line="360" w:lineRule="auto"/>
        <w:ind w:right="42" w:rightChars="20" w:firstLine="560" w:firstLineChars="200"/>
        <w:jc w:val="left"/>
        <w:outlineLvl w:val="9"/>
        <w:rPr>
          <w:rFonts w:hint="eastAsia" w:ascii="仿宋_GB2312" w:hAnsi="仿宋_GB2312" w:eastAsia="仿宋_GB2312" w:cs="仿宋_GB2312"/>
          <w:color w:val="auto"/>
          <w:kern w:val="0"/>
          <w:sz w:val="28"/>
          <w:szCs w:val="28"/>
          <w:highlight w:val="none"/>
          <w:lang w:val="en-US" w:eastAsia="zh-CN"/>
        </w:rPr>
      </w:pPr>
      <w:r>
        <w:rPr>
          <w:rFonts w:hint="eastAsia" w:ascii="仿宋_GB2312" w:hAnsi="仿宋_GB2312" w:eastAsia="仿宋_GB2312" w:cs="仿宋_GB2312"/>
          <w:color w:val="auto"/>
          <w:kern w:val="0"/>
          <w:sz w:val="28"/>
          <w:szCs w:val="28"/>
          <w:highlight w:val="none"/>
          <w:lang w:val="en-US" w:eastAsia="zh-CN"/>
        </w:rPr>
        <w:t>（1）</w:t>
      </w:r>
      <w:r>
        <w:rPr>
          <w:rFonts w:hint="eastAsia" w:ascii="仿宋_GB2312" w:hAnsi="仿宋_GB2312" w:eastAsia="仿宋_GB2312" w:cs="仿宋_GB2312"/>
          <w:color w:val="auto"/>
          <w:kern w:val="0"/>
          <w:sz w:val="28"/>
          <w:szCs w:val="28"/>
          <w:highlight w:val="none"/>
        </w:rPr>
        <w:t>租赁终止（含本合同约定的租赁期限届满、非因</w:t>
      </w:r>
      <w:r>
        <w:rPr>
          <w:rFonts w:hint="eastAsia" w:ascii="仿宋_GB2312" w:hAnsi="仿宋_GB2312" w:eastAsia="仿宋_GB2312" w:cs="仿宋_GB2312"/>
          <w:color w:val="auto"/>
          <w:kern w:val="0"/>
          <w:sz w:val="28"/>
          <w:szCs w:val="28"/>
          <w:highlight w:val="none"/>
          <w:lang w:eastAsia="zh-CN"/>
        </w:rPr>
        <w:t>承租人</w:t>
      </w:r>
      <w:r>
        <w:rPr>
          <w:rFonts w:hint="eastAsia" w:ascii="仿宋_GB2312" w:hAnsi="仿宋_GB2312" w:eastAsia="仿宋_GB2312" w:cs="仿宋_GB2312"/>
          <w:color w:val="auto"/>
          <w:kern w:val="0"/>
          <w:sz w:val="28"/>
          <w:szCs w:val="28"/>
          <w:highlight w:val="none"/>
        </w:rPr>
        <w:t>违约导致的合同解除及租赁终止，下同）</w:t>
      </w:r>
      <w:r>
        <w:rPr>
          <w:rFonts w:hint="eastAsia" w:ascii="仿宋_GB2312" w:hAnsi="仿宋_GB2312" w:eastAsia="仿宋_GB2312" w:cs="仿宋_GB2312"/>
          <w:color w:val="auto"/>
          <w:kern w:val="0"/>
          <w:sz w:val="28"/>
          <w:szCs w:val="28"/>
          <w:highlight w:val="none"/>
          <w:lang w:val="en-US" w:eastAsia="zh-CN"/>
        </w:rPr>
        <w:t>。</w:t>
      </w:r>
    </w:p>
    <w:p w14:paraId="0A66FA7F">
      <w:pPr>
        <w:numPr>
          <w:ilvl w:val="0"/>
          <w:numId w:val="0"/>
        </w:numPr>
        <w:adjustRightInd/>
        <w:spacing w:line="360" w:lineRule="auto"/>
        <w:ind w:right="42" w:rightChars="20" w:firstLine="560" w:firstLineChars="200"/>
        <w:jc w:val="left"/>
        <w:outlineLvl w:val="9"/>
        <w:rPr>
          <w:rFonts w:hint="eastAsia" w:ascii="仿宋_GB2312" w:hAnsi="仿宋_GB2312" w:eastAsia="仿宋_GB2312" w:cs="仿宋_GB2312"/>
          <w:color w:val="auto"/>
          <w:kern w:val="0"/>
          <w:sz w:val="28"/>
          <w:szCs w:val="28"/>
          <w:highlight w:val="none"/>
          <w:lang w:val="en-US" w:eastAsia="zh-CN"/>
        </w:rPr>
      </w:pPr>
      <w:r>
        <w:rPr>
          <w:rFonts w:hint="eastAsia" w:ascii="仿宋_GB2312" w:hAnsi="仿宋_GB2312" w:eastAsia="仿宋_GB2312" w:cs="仿宋_GB2312"/>
          <w:color w:val="auto"/>
          <w:kern w:val="0"/>
          <w:sz w:val="28"/>
          <w:szCs w:val="28"/>
          <w:highlight w:val="none"/>
          <w:lang w:val="en-US" w:eastAsia="zh-CN"/>
        </w:rPr>
        <w:t>（2）</w:t>
      </w:r>
      <w:r>
        <w:rPr>
          <w:rFonts w:hint="eastAsia" w:ascii="仿宋_GB2312" w:hAnsi="仿宋_GB2312" w:eastAsia="仿宋_GB2312" w:cs="仿宋_GB2312"/>
          <w:color w:val="auto"/>
          <w:kern w:val="0"/>
          <w:sz w:val="28"/>
          <w:szCs w:val="28"/>
          <w:highlight w:val="none"/>
          <w:lang w:eastAsia="zh-CN"/>
        </w:rPr>
        <w:t>承租人</w:t>
      </w:r>
      <w:r>
        <w:rPr>
          <w:rFonts w:hint="eastAsia" w:ascii="仿宋_GB2312" w:hAnsi="仿宋_GB2312" w:eastAsia="仿宋_GB2312" w:cs="仿宋_GB2312"/>
          <w:color w:val="auto"/>
          <w:kern w:val="0"/>
          <w:sz w:val="28"/>
          <w:szCs w:val="28"/>
          <w:highlight w:val="none"/>
        </w:rPr>
        <w:t>已付清合同约定的各项费用或</w:t>
      </w:r>
      <w:r>
        <w:rPr>
          <w:rFonts w:hint="eastAsia" w:ascii="仿宋_GB2312" w:hAnsi="仿宋_GB2312" w:eastAsia="仿宋_GB2312" w:cs="仿宋_GB2312"/>
          <w:color w:val="auto"/>
          <w:kern w:val="0"/>
          <w:sz w:val="28"/>
          <w:szCs w:val="28"/>
          <w:highlight w:val="none"/>
          <w:lang w:eastAsia="zh-CN"/>
        </w:rPr>
        <w:t>出租人</w:t>
      </w:r>
      <w:r>
        <w:rPr>
          <w:rFonts w:hint="eastAsia" w:ascii="仿宋_GB2312" w:hAnsi="仿宋_GB2312" w:eastAsia="仿宋_GB2312" w:cs="仿宋_GB2312"/>
          <w:color w:val="auto"/>
          <w:kern w:val="0"/>
          <w:sz w:val="28"/>
          <w:szCs w:val="28"/>
          <w:highlight w:val="none"/>
        </w:rPr>
        <w:t>从履约保证金中扣除应扣费用后尚有余额</w:t>
      </w:r>
      <w:r>
        <w:rPr>
          <w:rFonts w:hint="eastAsia" w:ascii="仿宋_GB2312" w:hAnsi="仿宋_GB2312" w:eastAsia="仿宋_GB2312" w:cs="仿宋_GB2312"/>
          <w:color w:val="auto"/>
          <w:kern w:val="0"/>
          <w:sz w:val="28"/>
          <w:szCs w:val="28"/>
          <w:highlight w:val="none"/>
          <w:lang w:val="en-US" w:eastAsia="zh-CN"/>
        </w:rPr>
        <w:t>。</w:t>
      </w:r>
    </w:p>
    <w:p w14:paraId="571C2C78">
      <w:pPr>
        <w:numPr>
          <w:ilvl w:val="0"/>
          <w:numId w:val="0"/>
        </w:numPr>
        <w:adjustRightInd/>
        <w:spacing w:line="360" w:lineRule="auto"/>
        <w:ind w:right="42" w:rightChars="20" w:firstLine="560" w:firstLineChars="200"/>
        <w:jc w:val="left"/>
        <w:outlineLvl w:val="9"/>
        <w:rPr>
          <w:rFonts w:hint="eastAsia" w:ascii="仿宋_GB2312" w:hAnsi="仿宋_GB2312" w:eastAsia="仿宋_GB2312" w:cs="仿宋_GB2312"/>
          <w:color w:val="auto"/>
          <w:kern w:val="0"/>
          <w:sz w:val="28"/>
          <w:szCs w:val="28"/>
          <w:highlight w:val="none"/>
          <w:lang w:val="en-US" w:eastAsia="zh-CN"/>
        </w:rPr>
      </w:pPr>
      <w:r>
        <w:rPr>
          <w:rFonts w:hint="eastAsia" w:ascii="仿宋_GB2312" w:hAnsi="仿宋_GB2312" w:eastAsia="仿宋_GB2312" w:cs="仿宋_GB2312"/>
          <w:color w:val="auto"/>
          <w:kern w:val="0"/>
          <w:sz w:val="28"/>
          <w:szCs w:val="28"/>
          <w:highlight w:val="none"/>
          <w:lang w:val="en-US" w:eastAsia="zh-CN"/>
        </w:rPr>
        <w:t>（3）</w:t>
      </w:r>
      <w:r>
        <w:rPr>
          <w:rFonts w:hint="eastAsia" w:ascii="仿宋_GB2312" w:hAnsi="仿宋_GB2312" w:eastAsia="仿宋_GB2312" w:cs="仿宋_GB2312"/>
          <w:color w:val="auto"/>
          <w:kern w:val="0"/>
          <w:sz w:val="28"/>
          <w:szCs w:val="28"/>
          <w:highlight w:val="none"/>
          <w:lang w:eastAsia="zh-CN"/>
        </w:rPr>
        <w:t>承租人</w:t>
      </w:r>
      <w:r>
        <w:rPr>
          <w:rFonts w:hint="eastAsia" w:ascii="仿宋_GB2312" w:hAnsi="仿宋_GB2312" w:eastAsia="仿宋_GB2312" w:cs="仿宋_GB2312"/>
          <w:color w:val="auto"/>
          <w:kern w:val="0"/>
          <w:sz w:val="28"/>
          <w:szCs w:val="28"/>
          <w:highlight w:val="none"/>
        </w:rPr>
        <w:t>已将</w:t>
      </w:r>
      <w:r>
        <w:rPr>
          <w:rFonts w:hint="eastAsia" w:ascii="仿宋_GB2312" w:hAnsi="仿宋_GB2312" w:eastAsia="仿宋_GB2312" w:cs="仿宋_GB2312"/>
          <w:color w:val="auto"/>
          <w:kern w:val="0"/>
          <w:sz w:val="28"/>
          <w:szCs w:val="28"/>
          <w:highlight w:val="none"/>
          <w:lang w:eastAsia="zh-CN"/>
        </w:rPr>
        <w:t>出租标的</w:t>
      </w:r>
      <w:r>
        <w:rPr>
          <w:rFonts w:hint="eastAsia" w:ascii="仿宋_GB2312" w:hAnsi="仿宋_GB2312" w:eastAsia="仿宋_GB2312" w:cs="仿宋_GB2312"/>
          <w:color w:val="auto"/>
          <w:kern w:val="0"/>
          <w:sz w:val="28"/>
          <w:szCs w:val="28"/>
          <w:highlight w:val="none"/>
        </w:rPr>
        <w:t>及附属设施设备物完好、整洁地交还给</w:t>
      </w:r>
      <w:r>
        <w:rPr>
          <w:rFonts w:hint="eastAsia" w:ascii="仿宋_GB2312" w:hAnsi="仿宋_GB2312" w:eastAsia="仿宋_GB2312" w:cs="仿宋_GB2312"/>
          <w:color w:val="auto"/>
          <w:kern w:val="0"/>
          <w:sz w:val="28"/>
          <w:szCs w:val="28"/>
          <w:highlight w:val="none"/>
          <w:lang w:eastAsia="zh-CN"/>
        </w:rPr>
        <w:t>出租人</w:t>
      </w:r>
      <w:r>
        <w:rPr>
          <w:rFonts w:hint="eastAsia" w:ascii="仿宋_GB2312" w:hAnsi="仿宋_GB2312" w:eastAsia="仿宋_GB2312" w:cs="仿宋_GB2312"/>
          <w:color w:val="auto"/>
          <w:kern w:val="0"/>
          <w:sz w:val="28"/>
          <w:szCs w:val="28"/>
          <w:highlight w:val="none"/>
          <w:lang w:val="en-US" w:eastAsia="zh-CN"/>
        </w:rPr>
        <w:t>。</w:t>
      </w:r>
    </w:p>
    <w:p w14:paraId="2E4DB417">
      <w:pPr>
        <w:numPr>
          <w:ilvl w:val="0"/>
          <w:numId w:val="0"/>
        </w:numPr>
        <w:adjustRightInd/>
        <w:spacing w:line="360" w:lineRule="auto"/>
        <w:ind w:right="42" w:rightChars="20" w:firstLine="560" w:firstLineChars="200"/>
        <w:jc w:val="left"/>
        <w:outlineLvl w:val="9"/>
        <w:rPr>
          <w:rFonts w:hint="eastAsia" w:ascii="仿宋_GB2312" w:hAnsi="仿宋_GB2312" w:eastAsia="仿宋_GB2312" w:cs="仿宋_GB2312"/>
          <w:color w:val="auto"/>
          <w:kern w:val="0"/>
          <w:sz w:val="28"/>
          <w:szCs w:val="28"/>
          <w:highlight w:val="none"/>
          <w:lang w:val="en-US" w:eastAsia="zh-CN"/>
        </w:rPr>
      </w:pPr>
      <w:r>
        <w:rPr>
          <w:rFonts w:hint="eastAsia" w:ascii="仿宋_GB2312" w:hAnsi="仿宋_GB2312" w:eastAsia="仿宋_GB2312" w:cs="仿宋_GB2312"/>
          <w:color w:val="auto"/>
          <w:kern w:val="0"/>
          <w:sz w:val="28"/>
          <w:szCs w:val="28"/>
          <w:highlight w:val="none"/>
          <w:lang w:val="en-US" w:eastAsia="zh-CN"/>
        </w:rPr>
        <w:t>（4）</w:t>
      </w:r>
      <w:r>
        <w:rPr>
          <w:rFonts w:hint="eastAsia" w:ascii="仿宋_GB2312" w:hAnsi="仿宋_GB2312" w:eastAsia="仿宋_GB2312" w:cs="仿宋_GB2312"/>
          <w:color w:val="auto"/>
          <w:kern w:val="0"/>
          <w:sz w:val="28"/>
          <w:szCs w:val="28"/>
          <w:highlight w:val="none"/>
          <w:lang w:eastAsia="zh-CN"/>
        </w:rPr>
        <w:t>承租人</w:t>
      </w:r>
      <w:r>
        <w:rPr>
          <w:rFonts w:hint="eastAsia" w:ascii="仿宋_GB2312" w:hAnsi="仿宋_GB2312" w:eastAsia="仿宋_GB2312" w:cs="仿宋_GB2312"/>
          <w:color w:val="auto"/>
          <w:kern w:val="0"/>
          <w:sz w:val="28"/>
          <w:szCs w:val="28"/>
          <w:highlight w:val="none"/>
        </w:rPr>
        <w:t>向</w:t>
      </w:r>
      <w:r>
        <w:rPr>
          <w:rFonts w:hint="eastAsia" w:ascii="仿宋_GB2312" w:hAnsi="仿宋_GB2312" w:eastAsia="仿宋_GB2312" w:cs="仿宋_GB2312"/>
          <w:color w:val="auto"/>
          <w:kern w:val="0"/>
          <w:sz w:val="28"/>
          <w:szCs w:val="28"/>
          <w:highlight w:val="none"/>
          <w:lang w:eastAsia="zh-CN"/>
        </w:rPr>
        <w:t>出租人</w:t>
      </w:r>
      <w:r>
        <w:rPr>
          <w:rFonts w:hint="eastAsia" w:ascii="仿宋_GB2312" w:hAnsi="仿宋_GB2312" w:eastAsia="仿宋_GB2312" w:cs="仿宋_GB2312"/>
          <w:color w:val="auto"/>
          <w:kern w:val="0"/>
          <w:sz w:val="28"/>
          <w:szCs w:val="28"/>
          <w:highlight w:val="none"/>
        </w:rPr>
        <w:t>书面提出</w:t>
      </w:r>
      <w:r>
        <w:rPr>
          <w:rFonts w:hint="eastAsia" w:ascii="仿宋_GB2312" w:hAnsi="仿宋_GB2312" w:eastAsia="仿宋_GB2312" w:cs="仿宋_GB2312"/>
          <w:color w:val="auto"/>
          <w:kern w:val="0"/>
          <w:sz w:val="28"/>
          <w:szCs w:val="28"/>
          <w:highlight w:val="none"/>
          <w:lang w:val="en-US" w:eastAsia="zh-CN"/>
        </w:rPr>
        <w:t>履约保函/</w:t>
      </w:r>
      <w:r>
        <w:rPr>
          <w:rFonts w:hint="eastAsia" w:ascii="仿宋_GB2312" w:hAnsi="仿宋_GB2312" w:eastAsia="仿宋_GB2312" w:cs="仿宋_GB2312"/>
          <w:color w:val="auto"/>
          <w:kern w:val="0"/>
          <w:sz w:val="28"/>
          <w:szCs w:val="28"/>
          <w:highlight w:val="none"/>
        </w:rPr>
        <w:t>履约保证金返还申请（附</w:t>
      </w:r>
      <w:r>
        <w:rPr>
          <w:rFonts w:hint="eastAsia" w:ascii="仿宋_GB2312" w:hAnsi="仿宋_GB2312" w:eastAsia="仿宋_GB2312" w:cs="仿宋_GB2312"/>
          <w:color w:val="auto"/>
          <w:kern w:val="0"/>
          <w:sz w:val="28"/>
          <w:szCs w:val="28"/>
          <w:highlight w:val="none"/>
          <w:lang w:eastAsia="zh-CN"/>
        </w:rPr>
        <w:t>承租人</w:t>
      </w:r>
      <w:r>
        <w:rPr>
          <w:rFonts w:hint="eastAsia" w:ascii="仿宋_GB2312" w:hAnsi="仿宋_GB2312" w:eastAsia="仿宋_GB2312" w:cs="仿宋_GB2312"/>
          <w:color w:val="auto"/>
          <w:kern w:val="0"/>
          <w:sz w:val="28"/>
          <w:szCs w:val="28"/>
          <w:highlight w:val="none"/>
        </w:rPr>
        <w:t>收款账户）</w:t>
      </w:r>
      <w:r>
        <w:rPr>
          <w:rFonts w:hint="eastAsia" w:ascii="仿宋_GB2312" w:hAnsi="仿宋_GB2312" w:eastAsia="仿宋_GB2312" w:cs="仿宋_GB2312"/>
          <w:color w:val="auto"/>
          <w:kern w:val="0"/>
          <w:sz w:val="28"/>
          <w:szCs w:val="28"/>
          <w:highlight w:val="none"/>
          <w:lang w:val="en-US" w:eastAsia="zh-CN"/>
        </w:rPr>
        <w:t>。</w:t>
      </w:r>
    </w:p>
    <w:p w14:paraId="6E0EC85B">
      <w:pPr>
        <w:numPr>
          <w:ilvl w:val="0"/>
          <w:numId w:val="0"/>
        </w:numPr>
        <w:spacing w:line="240" w:lineRule="auto"/>
        <w:ind w:right="42" w:rightChars="20" w:firstLine="560" w:firstLineChars="200"/>
        <w:jc w:val="left"/>
        <w:outlineLvl w:val="9"/>
        <w:rPr>
          <w:rFonts w:hint="eastAsia" w:ascii="仿宋_GB2312" w:hAnsi="仿宋_GB2312" w:eastAsia="仿宋_GB2312" w:cs="仿宋_GB2312"/>
          <w:color w:val="auto"/>
          <w:kern w:val="0"/>
          <w:sz w:val="28"/>
          <w:szCs w:val="28"/>
          <w:highlight w:val="none"/>
          <w:lang w:val="en-US" w:eastAsia="zh-CN"/>
        </w:rPr>
      </w:pPr>
    </w:p>
    <w:p w14:paraId="0915A63E"/>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4181792C"/>
    <w:rsid w:val="5AAE1100"/>
    <w:rsid w:val="5BA60541"/>
    <w:rsid w:val="5E325FBA"/>
    <w:rsid w:val="79D5245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table" w:styleId="3">
    <w:name w:val="Table Grid"/>
    <w:basedOn w:val="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8</Pages>
  <Words>3563</Words>
  <Characters>3825</Characters>
  <Lines>0</Lines>
  <Paragraphs>0</Paragraphs>
  <TotalTime>23</TotalTime>
  <ScaleCrop>false</ScaleCrop>
  <LinksUpToDate>false</LinksUpToDate>
  <CharactersWithSpaces>3831</CharactersWithSpaces>
  <Application>WPS Office_12.1.0.22089_F1E327BC-269C-435d-A152-05C5408002CA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怡~ (^.^)</cp:lastModifiedBy>
  <dcterms:modified xsi:type="dcterms:W3CDTF">2025-10-28T01:34:42Z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2052-12.1.0.22089</vt:lpwstr>
  </property>
  <property fmtid="{D5CDD505-2E9C-101B-9397-08002B2CF9AE}" pid="3" name="KSOTemplateDocerSaveRecord">
    <vt:lpwstr>eyJoZGlkIjoiYTkwMzAxYzNjYWIxZDY1MGVhZTVmM2JmNTNjNGQ5MmQiLCJ1c2VySWQiOiI0NTA3MzA5NzYifQ==</vt:lpwstr>
  </property>
  <property fmtid="{D5CDD505-2E9C-101B-9397-08002B2CF9AE}" pid="4" name="ICV">
    <vt:lpwstr>6283F29E860C46D5801CCB31DD33C7D2_12</vt:lpwstr>
  </property>
</Properties>
</file>